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F4" w:rsidRDefault="008E5BF4" w:rsidP="00BE6A33">
      <w:pPr>
        <w:ind w:firstLine="708"/>
        <w:rPr>
          <w:b/>
          <w:sz w:val="24"/>
          <w:szCs w:val="24"/>
          <w:u w:val="single"/>
        </w:rPr>
      </w:pPr>
      <w:bookmarkStart w:id="0" w:name="_GoBack"/>
      <w:bookmarkEnd w:id="0"/>
    </w:p>
    <w:p w:rsidR="007B68C3" w:rsidRDefault="007B68C3" w:rsidP="00BE6A33">
      <w:pPr>
        <w:ind w:firstLine="708"/>
        <w:rPr>
          <w:b/>
          <w:sz w:val="24"/>
          <w:szCs w:val="24"/>
          <w:u w:val="single"/>
        </w:rPr>
      </w:pPr>
      <w:r w:rsidRPr="00B0140E">
        <w:rPr>
          <w:b/>
          <w:sz w:val="24"/>
          <w:szCs w:val="24"/>
          <w:u w:val="single"/>
        </w:rPr>
        <w:t xml:space="preserve">Komentář k návrhu rozpočtu Střediska sociálních služeb Prahy 13 pro rok </w:t>
      </w:r>
      <w:r w:rsidR="0027118E">
        <w:rPr>
          <w:b/>
          <w:sz w:val="24"/>
          <w:szCs w:val="24"/>
          <w:u w:val="single"/>
        </w:rPr>
        <w:t>20</w:t>
      </w:r>
      <w:r w:rsidR="005008FA">
        <w:rPr>
          <w:b/>
          <w:sz w:val="24"/>
          <w:szCs w:val="24"/>
          <w:u w:val="single"/>
        </w:rPr>
        <w:t>2</w:t>
      </w:r>
      <w:r w:rsidR="00087380">
        <w:rPr>
          <w:b/>
          <w:sz w:val="24"/>
          <w:szCs w:val="24"/>
          <w:u w:val="single"/>
        </w:rPr>
        <w:t>6</w:t>
      </w:r>
    </w:p>
    <w:p w:rsidR="00EF394F" w:rsidRDefault="00EF394F" w:rsidP="00EF394F">
      <w:pPr>
        <w:ind w:firstLine="708"/>
        <w:rPr>
          <w:b/>
          <w:sz w:val="28"/>
          <w:szCs w:val="28"/>
        </w:rPr>
      </w:pPr>
      <w:proofErr w:type="gramStart"/>
      <w:r w:rsidRPr="00EF394F">
        <w:rPr>
          <w:b/>
          <w:sz w:val="28"/>
          <w:szCs w:val="28"/>
        </w:rPr>
        <w:t>Výnosy</w:t>
      </w:r>
      <w:r w:rsidR="00C8359C">
        <w:rPr>
          <w:b/>
          <w:sz w:val="28"/>
          <w:szCs w:val="28"/>
        </w:rPr>
        <w:t xml:space="preserve"> </w:t>
      </w:r>
      <w:r w:rsidR="00B317D1">
        <w:rPr>
          <w:b/>
          <w:sz w:val="28"/>
          <w:szCs w:val="28"/>
        </w:rPr>
        <w:t xml:space="preserve">- </w:t>
      </w:r>
      <w:r w:rsidR="00C8359C">
        <w:rPr>
          <w:b/>
          <w:sz w:val="28"/>
          <w:szCs w:val="28"/>
        </w:rPr>
        <w:t>hlavní</w:t>
      </w:r>
      <w:proofErr w:type="gramEnd"/>
      <w:r w:rsidR="00C8359C">
        <w:rPr>
          <w:b/>
          <w:sz w:val="28"/>
          <w:szCs w:val="28"/>
        </w:rPr>
        <w:t xml:space="preserve"> činnost</w:t>
      </w:r>
      <w:r w:rsidRPr="00EF394F">
        <w:rPr>
          <w:b/>
          <w:sz w:val="28"/>
          <w:szCs w:val="28"/>
        </w:rPr>
        <w:t>:</w:t>
      </w:r>
    </w:p>
    <w:p w:rsidR="00C3474F" w:rsidRDefault="00C3474F" w:rsidP="00EF394F">
      <w:pPr>
        <w:ind w:left="709" w:hanging="1"/>
      </w:pPr>
      <w:r>
        <w:t xml:space="preserve">Výnosy jsou </w:t>
      </w:r>
      <w:r w:rsidR="00770A97">
        <w:t>tv</w:t>
      </w:r>
      <w:r>
        <w:t>o</w:t>
      </w:r>
      <w:r w:rsidR="00770A97">
        <w:t>ř</w:t>
      </w:r>
      <w:r>
        <w:t xml:space="preserve">eny </w:t>
      </w:r>
      <w:r w:rsidR="004531EF">
        <w:t>z</w:t>
      </w:r>
      <w:r>
        <w:t>:</w:t>
      </w:r>
    </w:p>
    <w:p w:rsidR="00C3474F" w:rsidRPr="00591145" w:rsidRDefault="004531EF" w:rsidP="004531EF">
      <w:pPr>
        <w:pStyle w:val="Odstavecseseznamem"/>
        <w:numPr>
          <w:ilvl w:val="0"/>
          <w:numId w:val="3"/>
        </w:numPr>
      </w:pPr>
      <w:r w:rsidRPr="00591145">
        <w:t xml:space="preserve">Neinvestičního příspěvku zřizovatele </w:t>
      </w:r>
      <w:r w:rsidR="0076122A" w:rsidRPr="00591145">
        <w:t>(UZ 079)</w:t>
      </w:r>
      <w:r w:rsidR="001544CC" w:rsidRPr="00591145">
        <w:t xml:space="preserve"> </w:t>
      </w:r>
      <w:r w:rsidR="0076122A" w:rsidRPr="00591145">
        <w:t>ve výši</w:t>
      </w:r>
      <w:r w:rsidR="0076122A" w:rsidRPr="00591145">
        <w:tab/>
      </w:r>
      <w:r w:rsidR="005008FA">
        <w:t>1</w:t>
      </w:r>
      <w:r w:rsidR="00087380">
        <w:t>5</w:t>
      </w:r>
      <w:r w:rsidR="005008FA">
        <w:t xml:space="preserve"> 020</w:t>
      </w:r>
      <w:r w:rsidRPr="00591145">
        <w:t> 000,00 Kč</w:t>
      </w:r>
    </w:p>
    <w:p w:rsidR="00666D34" w:rsidRDefault="00480DC8" w:rsidP="004531EF">
      <w:pPr>
        <w:pStyle w:val="Odstavecseseznamem"/>
        <w:numPr>
          <w:ilvl w:val="0"/>
          <w:numId w:val="3"/>
        </w:numPr>
      </w:pPr>
      <w:r>
        <w:t>Fin</w:t>
      </w:r>
      <w:r w:rsidR="00BA67ED">
        <w:t>.</w:t>
      </w:r>
      <w:r>
        <w:t xml:space="preserve"> prostředky z dotačního a grantového řízení </w:t>
      </w:r>
      <w:r w:rsidR="00BA67ED">
        <w:t>ve výši</w:t>
      </w:r>
      <w:proofErr w:type="gramStart"/>
      <w:r>
        <w:tab/>
      </w:r>
      <w:r w:rsidR="00087380">
        <w:t xml:space="preserve">  1</w:t>
      </w:r>
      <w:proofErr w:type="gramEnd"/>
      <w:r w:rsidR="00087380">
        <w:t xml:space="preserve"> 404 000,00 </w:t>
      </w:r>
      <w:r w:rsidR="00666D34" w:rsidRPr="00480DC8">
        <w:t>Kč</w:t>
      </w:r>
    </w:p>
    <w:p w:rsidR="004531EF" w:rsidRDefault="004531EF" w:rsidP="004531EF">
      <w:pPr>
        <w:pStyle w:val="Odstavecseseznamem"/>
        <w:numPr>
          <w:ilvl w:val="0"/>
          <w:numId w:val="3"/>
        </w:numPr>
      </w:pPr>
      <w:r w:rsidRPr="00591145">
        <w:t xml:space="preserve">Vlastních </w:t>
      </w:r>
      <w:r w:rsidR="004F1148">
        <w:t>zdroje ve výši</w:t>
      </w:r>
      <w:r w:rsidR="004F1148">
        <w:tab/>
      </w:r>
      <w:r w:rsidR="004F1148">
        <w:tab/>
        <w:t xml:space="preserve">             </w:t>
      </w:r>
      <w:r w:rsidR="00183B6D" w:rsidRPr="00591145">
        <w:tab/>
      </w:r>
      <w:r w:rsidR="00183B6D" w:rsidRPr="00591145">
        <w:tab/>
      </w:r>
      <w:proofErr w:type="gramStart"/>
      <w:r w:rsidR="00183B6D" w:rsidRPr="00591145">
        <w:tab/>
      </w:r>
      <w:r w:rsidR="005008FA">
        <w:t xml:space="preserve">  </w:t>
      </w:r>
      <w:r w:rsidR="00087380">
        <w:t>9</w:t>
      </w:r>
      <w:proofErr w:type="gramEnd"/>
      <w:r w:rsidR="00087380">
        <w:t> 500 000</w:t>
      </w:r>
      <w:r w:rsidR="00183B6D" w:rsidRPr="00591145">
        <w:t>,00 Kč</w:t>
      </w:r>
    </w:p>
    <w:p w:rsidR="00087380" w:rsidRPr="00591145" w:rsidRDefault="00087380" w:rsidP="004531EF">
      <w:pPr>
        <w:pStyle w:val="Odstavecseseznamem"/>
        <w:numPr>
          <w:ilvl w:val="0"/>
          <w:numId w:val="3"/>
        </w:numPr>
      </w:pPr>
      <w:r>
        <w:t>Výnosy z transferů UZ 13502</w:t>
      </w:r>
      <w:r>
        <w:tab/>
      </w:r>
      <w:r>
        <w:tab/>
      </w:r>
      <w:r>
        <w:tab/>
      </w:r>
      <w:r>
        <w:tab/>
        <w:t xml:space="preserve">     134 676,00 Kč</w:t>
      </w:r>
    </w:p>
    <w:p w:rsidR="006E1DB6" w:rsidRPr="00591145" w:rsidRDefault="006E1DB6" w:rsidP="006E1DB6">
      <w:pPr>
        <w:pStyle w:val="Odstavecseseznamem"/>
        <w:ind w:left="1068"/>
        <w:rPr>
          <w:b/>
          <w:u w:val="single"/>
        </w:rPr>
      </w:pPr>
      <w:r w:rsidRPr="00591145">
        <w:t xml:space="preserve">Plánované </w:t>
      </w:r>
      <w:r w:rsidR="00A55974" w:rsidRPr="00591145">
        <w:t>v</w:t>
      </w:r>
      <w:r w:rsidRPr="00591145">
        <w:t>ýnosy celkem</w:t>
      </w:r>
      <w:r w:rsidR="00A55974" w:rsidRPr="00591145">
        <w:t>:</w:t>
      </w:r>
      <w:r w:rsidR="00A55974" w:rsidRPr="00591145">
        <w:tab/>
      </w:r>
      <w:r w:rsidRPr="00591145">
        <w:tab/>
      </w:r>
      <w:r w:rsidRPr="00591145">
        <w:tab/>
      </w:r>
      <w:r w:rsidRPr="00591145">
        <w:tab/>
        <w:t xml:space="preserve">            </w:t>
      </w:r>
      <w:r w:rsidR="00A5428D">
        <w:t xml:space="preserve"> </w:t>
      </w:r>
      <w:r w:rsidR="00993845">
        <w:t xml:space="preserve"> </w:t>
      </w:r>
      <w:r w:rsidR="00087380">
        <w:rPr>
          <w:b/>
          <w:u w:val="single"/>
        </w:rPr>
        <w:t>2</w:t>
      </w:r>
      <w:r w:rsidR="00A30684">
        <w:rPr>
          <w:b/>
          <w:u w:val="single"/>
        </w:rPr>
        <w:t>6</w:t>
      </w:r>
      <w:r w:rsidR="00087380">
        <w:rPr>
          <w:b/>
          <w:u w:val="single"/>
        </w:rPr>
        <w:t> 058 676</w:t>
      </w:r>
      <w:r w:rsidR="000F152E">
        <w:rPr>
          <w:b/>
          <w:u w:val="single"/>
        </w:rPr>
        <w:t>,00</w:t>
      </w:r>
      <w:r w:rsidRPr="001A3757">
        <w:rPr>
          <w:b/>
          <w:u w:val="single"/>
        </w:rPr>
        <w:t xml:space="preserve"> Kč</w:t>
      </w:r>
    </w:p>
    <w:p w:rsidR="00666D34" w:rsidRPr="00123101" w:rsidRDefault="00123101" w:rsidP="00123101">
      <w:pPr>
        <w:spacing w:after="120" w:line="240" w:lineRule="auto"/>
        <w:ind w:firstLine="708"/>
        <w:rPr>
          <w:b/>
          <w:u w:val="single"/>
        </w:rPr>
      </w:pPr>
      <w:r w:rsidRPr="00123101">
        <w:rPr>
          <w:b/>
          <w:u w:val="single"/>
        </w:rPr>
        <w:t>K bodu 1)</w:t>
      </w:r>
    </w:p>
    <w:p w:rsidR="00666D34" w:rsidRPr="00225B90" w:rsidRDefault="00225B90" w:rsidP="00225B90">
      <w:pPr>
        <w:pStyle w:val="Odstavecseseznamem"/>
        <w:spacing w:after="120" w:line="240" w:lineRule="auto"/>
        <w:ind w:left="709"/>
        <w:contextualSpacing w:val="0"/>
      </w:pPr>
      <w:r>
        <w:t>Schválený n</w:t>
      </w:r>
      <w:r w:rsidR="00666D34" w:rsidRPr="00591145">
        <w:t>einve</w:t>
      </w:r>
      <w:r>
        <w:t>stiční příspěvek od zřizovatele.</w:t>
      </w:r>
      <w:r w:rsidR="00A2405A">
        <w:t xml:space="preserve"> </w:t>
      </w:r>
      <w:r w:rsidR="00834B01">
        <w:t>V nákladových položkách je neinvestiční příspěvek zřizovatele /UZ 079/ rozpočtován v </w:t>
      </w:r>
      <w:proofErr w:type="gramStart"/>
      <w:r w:rsidR="00834B01">
        <w:t>po</w:t>
      </w:r>
      <w:r w:rsidR="000A5B59">
        <w:t>ložkách  521</w:t>
      </w:r>
      <w:proofErr w:type="gramEnd"/>
      <w:r w:rsidR="000A5B59">
        <w:t>-527 mzdové náklady</w:t>
      </w:r>
      <w:r w:rsidR="00B929DF">
        <w:t xml:space="preserve"> </w:t>
      </w:r>
      <w:r w:rsidR="00834B01">
        <w:t>a v položce 551- účetní odpisy.</w:t>
      </w:r>
    </w:p>
    <w:p w:rsidR="009A4F6A" w:rsidRDefault="00DF248C" w:rsidP="009A4F6A">
      <w:pPr>
        <w:pStyle w:val="Odstavecseseznamem"/>
        <w:spacing w:after="0" w:line="240" w:lineRule="auto"/>
        <w:ind w:left="709"/>
        <w:contextualSpacing w:val="0"/>
      </w:pPr>
      <w:r>
        <w:rPr>
          <w:b/>
          <w:u w:val="single"/>
        </w:rPr>
        <w:t>K bodu 2)</w:t>
      </w:r>
    </w:p>
    <w:p w:rsidR="003F294D" w:rsidRDefault="00DF248C" w:rsidP="009A4F6A">
      <w:pPr>
        <w:pStyle w:val="Odstavecseseznamem"/>
        <w:spacing w:after="120" w:line="240" w:lineRule="auto"/>
        <w:ind w:left="709"/>
        <w:contextualSpacing w:val="0"/>
      </w:pPr>
      <w:r>
        <w:t>F</w:t>
      </w:r>
      <w:r w:rsidR="001A3757">
        <w:t xml:space="preserve">inanční prostředky, </w:t>
      </w:r>
      <w:r w:rsidR="005008FA">
        <w:t>které budeme žádat v rámci dotačního a grantového řízení pro rok 202</w:t>
      </w:r>
      <w:r w:rsidR="00087380">
        <w:t>6</w:t>
      </w:r>
      <w:r w:rsidR="005008FA">
        <w:t>.</w:t>
      </w:r>
    </w:p>
    <w:p w:rsidR="00666D34" w:rsidRDefault="00666D34" w:rsidP="009A4F6A">
      <w:pPr>
        <w:pStyle w:val="Odstavecseseznamem"/>
        <w:spacing w:after="120" w:line="240" w:lineRule="auto"/>
        <w:ind w:left="709"/>
        <w:rPr>
          <w:b/>
          <w:u w:val="single"/>
        </w:rPr>
      </w:pPr>
      <w:r>
        <w:rPr>
          <w:b/>
          <w:u w:val="single"/>
        </w:rPr>
        <w:t xml:space="preserve">K bodu </w:t>
      </w:r>
      <w:r w:rsidR="000F152E">
        <w:rPr>
          <w:b/>
          <w:u w:val="single"/>
        </w:rPr>
        <w:t>3</w:t>
      </w:r>
      <w:r>
        <w:rPr>
          <w:b/>
          <w:u w:val="single"/>
        </w:rPr>
        <w:t>)</w:t>
      </w:r>
    </w:p>
    <w:p w:rsidR="00A71802" w:rsidRDefault="00666D34" w:rsidP="009A4F6A">
      <w:pPr>
        <w:pStyle w:val="Odstavecseseznamem"/>
        <w:spacing w:after="0" w:line="240" w:lineRule="auto"/>
        <w:ind w:left="709"/>
      </w:pPr>
      <w:r>
        <w:t xml:space="preserve">Souhrn rozpočtovaných vlastních výnosů </w:t>
      </w:r>
      <w:r w:rsidR="00943274">
        <w:t xml:space="preserve">organizace </w:t>
      </w:r>
      <w:r>
        <w:t>(</w:t>
      </w:r>
      <w:r w:rsidR="00670826">
        <w:t xml:space="preserve">výnosy za poskytované služby </w:t>
      </w:r>
      <w:proofErr w:type="gramStart"/>
      <w:r w:rsidR="009849FA">
        <w:t xml:space="preserve">klientům </w:t>
      </w:r>
      <w:r w:rsidR="00670826">
        <w:t> terénní</w:t>
      </w:r>
      <w:proofErr w:type="gramEnd"/>
      <w:r w:rsidR="00670826">
        <w:t xml:space="preserve"> pečovatelské služb</w:t>
      </w:r>
      <w:r w:rsidR="009849FA">
        <w:t>y, denního stacionáře,</w:t>
      </w:r>
      <w:r w:rsidR="00670826">
        <w:t xml:space="preserve"> </w:t>
      </w:r>
      <w:r>
        <w:t xml:space="preserve">výnosy jídelny, výnosy z nájmů a ostatní výnosy). </w:t>
      </w:r>
    </w:p>
    <w:p w:rsidR="00087380" w:rsidRDefault="00087380" w:rsidP="009A4F6A">
      <w:pPr>
        <w:pStyle w:val="Odstavecseseznamem"/>
        <w:spacing w:after="0" w:line="240" w:lineRule="auto"/>
        <w:ind w:left="709"/>
      </w:pPr>
    </w:p>
    <w:p w:rsidR="00087380" w:rsidRDefault="00087380" w:rsidP="009A4F6A">
      <w:pPr>
        <w:pStyle w:val="Odstavecseseznamem"/>
        <w:spacing w:after="0" w:line="240" w:lineRule="auto"/>
        <w:ind w:left="709"/>
        <w:rPr>
          <w:b/>
          <w:u w:val="single"/>
        </w:rPr>
      </w:pPr>
      <w:r w:rsidRPr="00087380">
        <w:rPr>
          <w:b/>
          <w:u w:val="single"/>
        </w:rPr>
        <w:t>K bodu 4)</w:t>
      </w:r>
    </w:p>
    <w:p w:rsidR="00C93FC4" w:rsidRPr="00E703BA" w:rsidRDefault="00087380" w:rsidP="00C93FC4">
      <w:pPr>
        <w:tabs>
          <w:tab w:val="left" w:pos="7371"/>
          <w:tab w:val="left" w:pos="8505"/>
        </w:tabs>
        <w:suppressAutoHyphens/>
        <w:spacing w:after="120" w:line="240" w:lineRule="auto"/>
        <w:ind w:left="708"/>
        <w:jc w:val="both"/>
      </w:pPr>
      <w:r w:rsidRPr="00C93FC4">
        <w:t>Výnosy z transferů /UZ 13302</w:t>
      </w:r>
      <w:r w:rsidR="00C93FC4" w:rsidRPr="00C93FC4">
        <w:t>- z</w:t>
      </w:r>
      <w:r w:rsidR="00C93FC4" w:rsidRPr="00E703BA">
        <w:t xml:space="preserve">aúčtování odpisů elektromobilu, </w:t>
      </w:r>
      <w:r w:rsidR="00C93FC4">
        <w:t>p</w:t>
      </w:r>
      <w:r w:rsidR="00C93FC4" w:rsidRPr="00E703BA">
        <w:t>ořízen</w:t>
      </w:r>
      <w:r w:rsidR="00C93FC4">
        <w:t>ého</w:t>
      </w:r>
      <w:r w:rsidR="00C93FC4" w:rsidRPr="00E703BA">
        <w:t xml:space="preserve"> v rámci podání veřejné zakázky malého rozsahu „Nákup elektromobilu pro sociální služby“ v roce 2023, financov</w:t>
      </w:r>
      <w:r w:rsidR="00A30684">
        <w:t>ané ze státního rozpočtu z MPSV/</w:t>
      </w:r>
      <w:r w:rsidR="00C93FC4" w:rsidRPr="00E703BA">
        <w:t xml:space="preserve"> UZ 13502</w:t>
      </w:r>
      <w:r w:rsidR="00A30684">
        <w:t>/</w:t>
      </w:r>
      <w:r w:rsidR="00C93FC4" w:rsidRPr="00E703BA">
        <w:t xml:space="preserve"> v celkové výši 672 235,13 Kč. Finanční částka odpisů za rok 202</w:t>
      </w:r>
      <w:r w:rsidR="00C93FC4">
        <w:t>6</w:t>
      </w:r>
      <w:r w:rsidR="00C93FC4" w:rsidRPr="00E703BA">
        <w:t xml:space="preserve"> je </w:t>
      </w:r>
      <w:r w:rsidR="00C93FC4">
        <w:t>zohledněna ve výnosech i v nákladech.</w:t>
      </w:r>
      <w:r w:rsidR="00C93FC4" w:rsidRPr="00E703BA">
        <w:t xml:space="preserve"> </w:t>
      </w:r>
    </w:p>
    <w:p w:rsidR="00087380" w:rsidRPr="00087380" w:rsidRDefault="00087380" w:rsidP="009A4F6A">
      <w:pPr>
        <w:pStyle w:val="Odstavecseseznamem"/>
        <w:spacing w:after="0" w:line="240" w:lineRule="auto"/>
        <w:ind w:left="709"/>
        <w:rPr>
          <w:b/>
          <w:u w:val="single"/>
        </w:rPr>
      </w:pPr>
    </w:p>
    <w:p w:rsidR="00666D34" w:rsidRDefault="00666D34" w:rsidP="009A4F6A">
      <w:pPr>
        <w:spacing w:after="0" w:line="240" w:lineRule="auto"/>
      </w:pPr>
    </w:p>
    <w:p w:rsidR="007B68C3" w:rsidRPr="000F152E" w:rsidRDefault="00EF394F" w:rsidP="000F152E">
      <w:pPr>
        <w:ind w:firstLine="708"/>
        <w:jc w:val="both"/>
        <w:rPr>
          <w:b/>
          <w:sz w:val="28"/>
          <w:szCs w:val="28"/>
        </w:rPr>
      </w:pPr>
      <w:proofErr w:type="gramStart"/>
      <w:r w:rsidRPr="00110A3C">
        <w:rPr>
          <w:b/>
          <w:sz w:val="28"/>
          <w:szCs w:val="28"/>
        </w:rPr>
        <w:t>Náklady</w:t>
      </w:r>
      <w:r w:rsidR="006E1DB6" w:rsidRPr="00110A3C">
        <w:rPr>
          <w:b/>
          <w:sz w:val="28"/>
          <w:szCs w:val="28"/>
        </w:rPr>
        <w:t xml:space="preserve"> </w:t>
      </w:r>
      <w:r w:rsidR="00B317D1" w:rsidRPr="00110A3C">
        <w:rPr>
          <w:b/>
          <w:sz w:val="28"/>
          <w:szCs w:val="28"/>
        </w:rPr>
        <w:t xml:space="preserve">- </w:t>
      </w:r>
      <w:r w:rsidR="006E1DB6" w:rsidRPr="00110A3C">
        <w:rPr>
          <w:b/>
          <w:sz w:val="28"/>
          <w:szCs w:val="28"/>
        </w:rPr>
        <w:t>hlavní</w:t>
      </w:r>
      <w:proofErr w:type="gramEnd"/>
      <w:r w:rsidR="006E1DB6" w:rsidRPr="00110A3C">
        <w:rPr>
          <w:b/>
          <w:sz w:val="28"/>
          <w:szCs w:val="28"/>
        </w:rPr>
        <w:t xml:space="preserve"> činnost</w:t>
      </w:r>
      <w:r w:rsidRPr="00110A3C">
        <w:rPr>
          <w:b/>
          <w:sz w:val="28"/>
          <w:szCs w:val="28"/>
        </w:rPr>
        <w:t>:</w:t>
      </w:r>
      <w:r w:rsidR="007B68C3" w:rsidRPr="003C7D6C">
        <w:rPr>
          <w:b/>
          <w:color w:val="FF0000"/>
          <w:sz w:val="28"/>
          <w:szCs w:val="28"/>
        </w:rPr>
        <w:tab/>
      </w:r>
      <w:r w:rsidR="007B68C3" w:rsidRPr="003C7D6C">
        <w:rPr>
          <w:b/>
          <w:color w:val="FF0000"/>
          <w:sz w:val="28"/>
          <w:szCs w:val="28"/>
        </w:rPr>
        <w:tab/>
      </w:r>
      <w:r w:rsidR="007B68C3" w:rsidRPr="005415AA">
        <w:rPr>
          <w:b/>
          <w:color w:val="FF0000"/>
          <w:sz w:val="28"/>
          <w:szCs w:val="28"/>
        </w:rPr>
        <w:tab/>
      </w:r>
    </w:p>
    <w:p w:rsidR="0047510D" w:rsidRPr="003E5004" w:rsidRDefault="007B68C3" w:rsidP="003E5004">
      <w:pPr>
        <w:ind w:firstLine="708"/>
        <w:jc w:val="both"/>
        <w:rPr>
          <w:b/>
          <w:color w:val="FF0000"/>
          <w:sz w:val="24"/>
          <w:szCs w:val="24"/>
          <w:u w:val="single"/>
        </w:rPr>
      </w:pPr>
      <w:r w:rsidRPr="003E5004">
        <w:rPr>
          <w:b/>
          <w:sz w:val="24"/>
          <w:szCs w:val="24"/>
          <w:u w:val="single"/>
        </w:rPr>
        <w:t>Položka 501</w:t>
      </w:r>
      <w:r w:rsidR="006B4657" w:rsidRPr="003E5004">
        <w:rPr>
          <w:b/>
          <w:sz w:val="24"/>
          <w:szCs w:val="24"/>
          <w:u w:val="single"/>
        </w:rPr>
        <w:t xml:space="preserve"> </w:t>
      </w:r>
      <w:proofErr w:type="gramStart"/>
      <w:r w:rsidR="00AB50A5" w:rsidRPr="003E5004">
        <w:rPr>
          <w:b/>
          <w:sz w:val="24"/>
          <w:szCs w:val="24"/>
          <w:u w:val="single"/>
        </w:rPr>
        <w:t>–</w:t>
      </w:r>
      <w:r w:rsidR="006B4657" w:rsidRPr="003E5004">
        <w:rPr>
          <w:b/>
          <w:sz w:val="24"/>
          <w:szCs w:val="24"/>
          <w:u w:val="single"/>
        </w:rPr>
        <w:t xml:space="preserve"> </w:t>
      </w:r>
      <w:r w:rsidR="00F2415C" w:rsidRPr="003E5004">
        <w:rPr>
          <w:b/>
          <w:sz w:val="24"/>
          <w:szCs w:val="24"/>
          <w:u w:val="single"/>
        </w:rPr>
        <w:t xml:space="preserve"> materiál</w:t>
      </w:r>
      <w:proofErr w:type="gramEnd"/>
      <w:r w:rsidR="00F2415C" w:rsidRPr="003E5004">
        <w:rPr>
          <w:b/>
          <w:sz w:val="24"/>
          <w:szCs w:val="24"/>
          <w:u w:val="single"/>
        </w:rPr>
        <w:t xml:space="preserve">                 </w:t>
      </w:r>
    </w:p>
    <w:p w:rsidR="007B68C3" w:rsidRPr="0047510D" w:rsidRDefault="0047510D" w:rsidP="0047510D">
      <w:pPr>
        <w:pStyle w:val="Odstavecseseznamem"/>
        <w:jc w:val="both"/>
      </w:pPr>
      <w:r w:rsidRPr="0047510D">
        <w:t xml:space="preserve">Položka se </w:t>
      </w:r>
      <w:r w:rsidR="006B4657" w:rsidRPr="0047510D">
        <w:t>skládá ze dvou částí</w:t>
      </w:r>
      <w:r w:rsidR="00FA073F" w:rsidRPr="0047510D">
        <w:t xml:space="preserve"> (potraviny a ostatní </w:t>
      </w:r>
      <w:r w:rsidR="00AB50A5" w:rsidRPr="0047510D">
        <w:t>materiálové náklady)</w:t>
      </w:r>
      <w:r w:rsidR="00F55D21">
        <w:t xml:space="preserve">, které jsou kryty z výnosů vlastních </w:t>
      </w:r>
      <w:r w:rsidR="00B877FB">
        <w:t>zdrojů</w:t>
      </w:r>
      <w:r w:rsidR="00F55D21">
        <w:t>.</w:t>
      </w:r>
    </w:p>
    <w:p w:rsidR="0031433B" w:rsidRDefault="007B68C3" w:rsidP="009E2409">
      <w:pPr>
        <w:pStyle w:val="Odstavecseseznamem"/>
        <w:jc w:val="both"/>
      </w:pPr>
      <w:r w:rsidRPr="0047510D">
        <w:t>Náklad</w:t>
      </w:r>
      <w:r w:rsidR="00AB50A5" w:rsidRPr="0047510D">
        <w:t>y</w:t>
      </w:r>
      <w:r w:rsidR="00E228FF">
        <w:t xml:space="preserve"> na potraviny v plánované výši </w:t>
      </w:r>
      <w:r w:rsidR="00A56432">
        <w:rPr>
          <w:b/>
          <w:u w:val="single"/>
        </w:rPr>
        <w:t xml:space="preserve">2 </w:t>
      </w:r>
      <w:r w:rsidR="00A30684">
        <w:rPr>
          <w:b/>
          <w:u w:val="single"/>
        </w:rPr>
        <w:t>4</w:t>
      </w:r>
      <w:r w:rsidR="00F556B1">
        <w:rPr>
          <w:b/>
          <w:u w:val="single"/>
        </w:rPr>
        <w:t>00</w:t>
      </w:r>
      <w:r w:rsidRPr="0047510D">
        <w:rPr>
          <w:b/>
          <w:u w:val="single"/>
        </w:rPr>
        <w:t xml:space="preserve"> 000,00 Kč </w:t>
      </w:r>
      <w:r w:rsidRPr="0047510D">
        <w:t>a ostatní mat</w:t>
      </w:r>
      <w:r w:rsidR="000D32C4">
        <w:t xml:space="preserve">eriálové náklady v celkové výši </w:t>
      </w:r>
      <w:r w:rsidR="00A30684">
        <w:rPr>
          <w:b/>
          <w:u w:val="single"/>
        </w:rPr>
        <w:t>45</w:t>
      </w:r>
      <w:r w:rsidR="00A56432">
        <w:rPr>
          <w:b/>
          <w:u w:val="single"/>
        </w:rPr>
        <w:t>0</w:t>
      </w:r>
      <w:r w:rsidR="00982F26">
        <w:rPr>
          <w:b/>
          <w:u w:val="single"/>
        </w:rPr>
        <w:t xml:space="preserve"> 000</w:t>
      </w:r>
      <w:r w:rsidRPr="00F404B3">
        <w:rPr>
          <w:b/>
          <w:u w:val="single"/>
        </w:rPr>
        <w:t xml:space="preserve">,00 </w:t>
      </w:r>
      <w:r w:rsidRPr="0047510D">
        <w:rPr>
          <w:b/>
          <w:u w:val="single"/>
        </w:rPr>
        <w:t>Kč</w:t>
      </w:r>
      <w:r w:rsidR="00B23852">
        <w:t xml:space="preserve"> </w:t>
      </w:r>
      <w:r w:rsidR="008566B1">
        <w:t xml:space="preserve">v tom: </w:t>
      </w:r>
    </w:p>
    <w:p w:rsidR="009E2409" w:rsidRPr="0047510D" w:rsidRDefault="0031433B" w:rsidP="009E2409">
      <w:pPr>
        <w:pStyle w:val="Odstavecseseznamem"/>
        <w:jc w:val="both"/>
      </w:pPr>
      <w:r>
        <w:t>(</w:t>
      </w:r>
      <w:r w:rsidR="00A167ED">
        <w:t xml:space="preserve">nákup </w:t>
      </w:r>
      <w:r w:rsidR="007D574A">
        <w:t xml:space="preserve">svačin </w:t>
      </w:r>
      <w:r w:rsidR="00A167ED">
        <w:t xml:space="preserve">pro klienty </w:t>
      </w:r>
      <w:r w:rsidR="007D574A">
        <w:t>denní</w:t>
      </w:r>
      <w:r w:rsidR="00A167ED">
        <w:t>ho</w:t>
      </w:r>
      <w:r w:rsidR="007D574A">
        <w:t xml:space="preserve"> stacionář</w:t>
      </w:r>
      <w:r w:rsidR="00A167ED">
        <w:t>e</w:t>
      </w:r>
      <w:r w:rsidR="007D574A">
        <w:t xml:space="preserve"> </w:t>
      </w:r>
      <w:r w:rsidR="00C61C5A">
        <w:t>65</w:t>
      </w:r>
      <w:r w:rsidR="007D574A">
        <w:t> 000,00 Kč, kancelářský materiál</w:t>
      </w:r>
      <w:r w:rsidR="00A30684">
        <w:t xml:space="preserve"> a čistící materiál 6</w:t>
      </w:r>
      <w:r w:rsidR="00BA4423">
        <w:t>0 000,00 Kč,</w:t>
      </w:r>
      <w:r w:rsidR="007D574A">
        <w:t xml:space="preserve"> </w:t>
      </w:r>
      <w:r w:rsidR="00DA7293">
        <w:t>hygienický materiál – toal</w:t>
      </w:r>
      <w:r w:rsidR="0023465B">
        <w:t>etní papír</w:t>
      </w:r>
      <w:r w:rsidR="00DA7293">
        <w:t xml:space="preserve">, ručníky, </w:t>
      </w:r>
      <w:r w:rsidR="00477A67">
        <w:t xml:space="preserve">mýdlo, </w:t>
      </w:r>
      <w:r w:rsidR="00DA7293">
        <w:t xml:space="preserve">ubrousky </w:t>
      </w:r>
      <w:r w:rsidR="00A56432">
        <w:t>do jídelny</w:t>
      </w:r>
      <w:r w:rsidR="00BA4423">
        <w:t xml:space="preserve">, desinfekční prostředky cca </w:t>
      </w:r>
      <w:r w:rsidR="00A56432">
        <w:t>odhad cca 7</w:t>
      </w:r>
      <w:r w:rsidR="00225B90">
        <w:t>0</w:t>
      </w:r>
      <w:r w:rsidR="000F152E">
        <w:t xml:space="preserve"> </w:t>
      </w:r>
      <w:r w:rsidR="00DA7293">
        <w:t>000,00 Kč</w:t>
      </w:r>
      <w:r w:rsidR="00CD2408">
        <w:t xml:space="preserve">, </w:t>
      </w:r>
      <w:r w:rsidR="00A30684">
        <w:t>nákup pohonných hmot</w:t>
      </w:r>
      <w:r w:rsidR="00CD2408">
        <w:t xml:space="preserve"> ve výši </w:t>
      </w:r>
      <w:r w:rsidR="00A30684">
        <w:t>170</w:t>
      </w:r>
      <w:r w:rsidR="00BA4423">
        <w:t xml:space="preserve"> 000</w:t>
      </w:r>
      <w:r w:rsidR="00225B90">
        <w:t xml:space="preserve"> 000,00 Kč, </w:t>
      </w:r>
      <w:r w:rsidR="00A56432">
        <w:t xml:space="preserve">ostatní </w:t>
      </w:r>
      <w:r w:rsidR="00225B90">
        <w:t>materiá</w:t>
      </w:r>
      <w:r w:rsidR="00BA4423">
        <w:t>lové náklady</w:t>
      </w:r>
      <w:r w:rsidR="00A30684">
        <w:t xml:space="preserve"> (zahradnický</w:t>
      </w:r>
      <w:r w:rsidR="00BA4423">
        <w:t xml:space="preserve"> na údržbu areálu</w:t>
      </w:r>
      <w:r w:rsidR="00225B90">
        <w:t>, technický</w:t>
      </w:r>
      <w:r w:rsidR="00BA4423">
        <w:t xml:space="preserve"> k údržbě vozidel aj.</w:t>
      </w:r>
      <w:r w:rsidR="00225B90">
        <w:t xml:space="preserve"> materiál pro klienty denního </w:t>
      </w:r>
      <w:proofErr w:type="gramStart"/>
      <w:r w:rsidR="00225B90">
        <w:t>stacionáře- ruční</w:t>
      </w:r>
      <w:proofErr w:type="gramEnd"/>
      <w:r w:rsidR="00225B90">
        <w:t xml:space="preserve"> a výtvarné práce</w:t>
      </w:r>
      <w:r w:rsidR="00BA4423">
        <w:t>, obalový materiál na rozvozy obědů klientům aj.</w:t>
      </w:r>
      <w:r w:rsidR="00CD2408">
        <w:t>)</w:t>
      </w:r>
      <w:r w:rsidR="00225B90">
        <w:t>.</w:t>
      </w:r>
      <w:r w:rsidR="00CD2408">
        <w:t xml:space="preserve"> </w:t>
      </w:r>
    </w:p>
    <w:tbl>
      <w:tblPr>
        <w:tblW w:w="12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3854"/>
      </w:tblGrid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1344F6" w:rsidRDefault="00BB2633" w:rsidP="00BB2633">
            <w:pPr>
              <w:tabs>
                <w:tab w:val="left" w:pos="67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B2633">
              <w:rPr>
                <w:b/>
                <w:sz w:val="24"/>
                <w:szCs w:val="24"/>
              </w:rPr>
              <w:t xml:space="preserve">          </w:t>
            </w:r>
          </w:p>
          <w:p w:rsidR="00CD2408" w:rsidRDefault="00CD2408" w:rsidP="001344F6">
            <w:pPr>
              <w:tabs>
                <w:tab w:val="left" w:pos="672"/>
              </w:tabs>
              <w:spacing w:after="0" w:line="240" w:lineRule="auto"/>
              <w:ind w:left="637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BA4423" w:rsidRDefault="00BA4423" w:rsidP="001344F6">
            <w:pPr>
              <w:tabs>
                <w:tab w:val="left" w:pos="672"/>
              </w:tabs>
              <w:spacing w:after="0" w:line="240" w:lineRule="auto"/>
              <w:ind w:left="637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D2408" w:rsidRDefault="00CD2408" w:rsidP="001344F6">
            <w:pPr>
              <w:tabs>
                <w:tab w:val="left" w:pos="672"/>
              </w:tabs>
              <w:spacing w:after="0" w:line="240" w:lineRule="auto"/>
              <w:ind w:left="637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BB2633" w:rsidRPr="009E2409" w:rsidRDefault="00BB2633" w:rsidP="001344F6">
            <w:pPr>
              <w:tabs>
                <w:tab w:val="left" w:pos="672"/>
              </w:tabs>
              <w:spacing w:after="0" w:line="240" w:lineRule="auto"/>
              <w:ind w:left="637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9E2409">
              <w:rPr>
                <w:b/>
                <w:sz w:val="24"/>
                <w:szCs w:val="24"/>
                <w:u w:val="single"/>
              </w:rPr>
              <w:t>Položka 502- energie</w:t>
            </w:r>
          </w:p>
          <w:p w:rsidR="00BB2633" w:rsidRDefault="00BB2633" w:rsidP="00BB2633">
            <w:pPr>
              <w:ind w:left="637" w:right="47"/>
              <w:jc w:val="both"/>
            </w:pPr>
            <w:r w:rsidRPr="00F404B3">
              <w:t xml:space="preserve">Návrh finančního plánu ve výši </w:t>
            </w:r>
            <w:r w:rsidR="00FB28F5">
              <w:rPr>
                <w:b/>
                <w:u w:val="single"/>
              </w:rPr>
              <w:t xml:space="preserve">1 </w:t>
            </w:r>
            <w:proofErr w:type="gramStart"/>
            <w:r w:rsidR="00FB28F5">
              <w:rPr>
                <w:b/>
                <w:u w:val="single"/>
              </w:rPr>
              <w:t>0</w:t>
            </w:r>
            <w:r w:rsidR="00225B90">
              <w:rPr>
                <w:b/>
                <w:u w:val="single"/>
              </w:rPr>
              <w:t>00</w:t>
            </w:r>
            <w:r w:rsidRPr="00BB2633">
              <w:rPr>
                <w:b/>
                <w:u w:val="single"/>
              </w:rPr>
              <w:t xml:space="preserve">  000</w:t>
            </w:r>
            <w:proofErr w:type="gramEnd"/>
            <w:r w:rsidRPr="00BB2633">
              <w:rPr>
                <w:b/>
                <w:u w:val="single"/>
              </w:rPr>
              <w:t xml:space="preserve">,00 </w:t>
            </w:r>
            <w:r w:rsidR="00566DBE" w:rsidRPr="00BB2633">
              <w:rPr>
                <w:b/>
                <w:u w:val="single"/>
              </w:rPr>
              <w:t>Kč</w:t>
            </w:r>
            <w:r w:rsidR="00566DBE">
              <w:rPr>
                <w:b/>
                <w:u w:val="single"/>
              </w:rPr>
              <w:t xml:space="preserve">, </w:t>
            </w:r>
            <w:r w:rsidR="00566DBE">
              <w:t>krytí</w:t>
            </w:r>
            <w:r>
              <w:t xml:space="preserve"> z vlastních zdrojů</w:t>
            </w:r>
            <w:r w:rsidR="00A56432">
              <w:t>.</w:t>
            </w:r>
            <w:r w:rsidR="004518A9">
              <w:t xml:space="preserve"> </w:t>
            </w:r>
          </w:p>
          <w:p w:rsidR="009E11D7" w:rsidRPr="00036E12" w:rsidRDefault="009E11D7" w:rsidP="009E11D7">
            <w:pPr>
              <w:spacing w:after="0" w:line="240" w:lineRule="auto"/>
              <w:ind w:firstLine="708"/>
              <w:jc w:val="both"/>
              <w:rPr>
                <w:b/>
                <w:sz w:val="24"/>
                <w:szCs w:val="24"/>
                <w:u w:val="single"/>
              </w:rPr>
            </w:pPr>
            <w:r w:rsidRPr="00036E12">
              <w:rPr>
                <w:b/>
                <w:sz w:val="24"/>
                <w:szCs w:val="24"/>
                <w:u w:val="single"/>
              </w:rPr>
              <w:t>Položka 511 – opravy</w:t>
            </w:r>
          </w:p>
          <w:p w:rsidR="009E11D7" w:rsidRPr="0047510D" w:rsidRDefault="009E11D7" w:rsidP="009E11D7">
            <w:pPr>
              <w:pStyle w:val="Odstavecseseznamem"/>
              <w:jc w:val="both"/>
            </w:pPr>
            <w:r w:rsidRPr="0047510D">
              <w:t xml:space="preserve">Návrh finančního plánu ve výši </w:t>
            </w:r>
            <w:r w:rsidR="00A30684" w:rsidRPr="00A30684">
              <w:rPr>
                <w:b/>
                <w:u w:val="single"/>
              </w:rPr>
              <w:t>6</w:t>
            </w:r>
            <w:r w:rsidR="00225B90">
              <w:rPr>
                <w:b/>
                <w:u w:val="single"/>
              </w:rPr>
              <w:t>00</w:t>
            </w:r>
            <w:r w:rsidRPr="00F404B3">
              <w:rPr>
                <w:b/>
                <w:u w:val="single"/>
              </w:rPr>
              <w:t xml:space="preserve"> 000,00 Kč</w:t>
            </w:r>
            <w:r>
              <w:t>, krytí z vlastních příjmů.</w:t>
            </w:r>
            <w:r w:rsidRPr="00F404B3">
              <w:t xml:space="preserve"> </w:t>
            </w:r>
          </w:p>
          <w:p w:rsidR="009E11D7" w:rsidRDefault="009E11D7" w:rsidP="009E11D7">
            <w:pPr>
              <w:pStyle w:val="Odstavecseseznamem"/>
              <w:jc w:val="both"/>
            </w:pPr>
            <w:r w:rsidRPr="0047510D">
              <w:t xml:space="preserve">V položce jsou zahrnuty </w:t>
            </w:r>
            <w:r>
              <w:t xml:space="preserve">pravidelné platby, tj. </w:t>
            </w:r>
            <w:r w:rsidRPr="0047510D">
              <w:t>pa</w:t>
            </w:r>
            <w:r>
              <w:t xml:space="preserve">ušální platby za servis výtahů </w:t>
            </w:r>
            <w:r w:rsidR="00503EDF">
              <w:t>9</w:t>
            </w:r>
            <w:r w:rsidR="002F4D9D">
              <w:t>5</w:t>
            </w:r>
            <w:r>
              <w:t> 000,00 Kč</w:t>
            </w:r>
            <w:r w:rsidR="00FB28F5">
              <w:t xml:space="preserve"> a 20 000,00 Kč za výtah v přístavbě</w:t>
            </w:r>
            <w:r>
              <w:t xml:space="preserve">, servis a údržba vozového parku ve výši </w:t>
            </w:r>
            <w:r w:rsidR="00A56432">
              <w:t>1</w:t>
            </w:r>
            <w:r w:rsidR="00D427DA">
              <w:t>30</w:t>
            </w:r>
            <w:r>
              <w:t> 000,00 Kč</w:t>
            </w:r>
            <w:r w:rsidRPr="0047510D">
              <w:t xml:space="preserve">, </w:t>
            </w:r>
            <w:r>
              <w:t xml:space="preserve">údržba vzduchotechniky a chlazení 2x předsezonní servisy ve výši </w:t>
            </w:r>
            <w:r w:rsidR="00A56432">
              <w:t>3</w:t>
            </w:r>
            <w:r>
              <w:t xml:space="preserve">0 000,00 Kč, </w:t>
            </w:r>
            <w:r w:rsidRPr="0047510D">
              <w:t xml:space="preserve">roční povinné revize </w:t>
            </w:r>
            <w:r>
              <w:t xml:space="preserve">zabezpečovacího systému (PZTS) ve výši 60 000,00 Kč, </w:t>
            </w:r>
            <w:r w:rsidRPr="0047510D">
              <w:t>STA</w:t>
            </w:r>
            <w:r w:rsidRPr="0047510D">
              <w:rPr>
                <w:b/>
              </w:rPr>
              <w:t xml:space="preserve">, </w:t>
            </w:r>
            <w:r w:rsidRPr="002C76E8">
              <w:t>elektro</w:t>
            </w:r>
            <w:r>
              <w:t xml:space="preserve"> </w:t>
            </w:r>
            <w:r w:rsidRPr="002C76E8">
              <w:t>revize,</w:t>
            </w:r>
            <w:r>
              <w:t xml:space="preserve"> revize cvičebních venkovních prvků, požární revize </w:t>
            </w:r>
            <w:r w:rsidR="00503EDF">
              <w:t>aj.</w:t>
            </w:r>
            <w:r w:rsidRPr="0047510D">
              <w:rPr>
                <w:b/>
              </w:rPr>
              <w:t xml:space="preserve"> </w:t>
            </w:r>
            <w:r>
              <w:t>Krytí z vlastních zdrojů.</w:t>
            </w:r>
          </w:p>
          <w:p w:rsidR="009E11D7" w:rsidRDefault="009E11D7" w:rsidP="009E11D7">
            <w:pPr>
              <w:pStyle w:val="Odstavecseseznamem"/>
              <w:jc w:val="both"/>
            </w:pPr>
          </w:p>
          <w:p w:rsidR="00BB2633" w:rsidRPr="00BB2633" w:rsidRDefault="00BB2633" w:rsidP="009E11D7">
            <w:pPr>
              <w:pStyle w:val="Odstavecseseznamem"/>
              <w:jc w:val="both"/>
              <w:rPr>
                <w:b/>
                <w:color w:val="FF0000"/>
              </w:rPr>
            </w:pPr>
            <w:r w:rsidRPr="00BB2633">
              <w:rPr>
                <w:b/>
                <w:sz w:val="24"/>
                <w:szCs w:val="24"/>
                <w:u w:val="single"/>
              </w:rPr>
              <w:t>Položka 512 - cestovné</w:t>
            </w:r>
          </w:p>
          <w:p w:rsidR="00BB2633" w:rsidRPr="0047510D" w:rsidRDefault="00BB2633" w:rsidP="00BB2633">
            <w:pPr>
              <w:pStyle w:val="Odstavecseseznamem"/>
              <w:spacing w:after="0" w:line="240" w:lineRule="auto"/>
              <w:contextualSpacing w:val="0"/>
              <w:jc w:val="both"/>
            </w:pPr>
            <w:r w:rsidRPr="0047510D">
              <w:t xml:space="preserve">Návrh finančního plánu ve výši </w:t>
            </w:r>
            <w:r w:rsidR="00D427DA">
              <w:rPr>
                <w:b/>
                <w:u w:val="single"/>
              </w:rPr>
              <w:t>50</w:t>
            </w:r>
            <w:r w:rsidRPr="0047510D">
              <w:rPr>
                <w:b/>
                <w:u w:val="single"/>
              </w:rPr>
              <w:t> 000,00 Kč.</w:t>
            </w:r>
            <w:r>
              <w:t xml:space="preserve"> </w:t>
            </w:r>
            <w:r w:rsidRPr="0047510D">
              <w:t xml:space="preserve">Kalkulace sestavena </w:t>
            </w:r>
            <w:r>
              <w:t xml:space="preserve">dle počtu jízd na zaměstnance (dle vnitřní směrnice organizace). Krytí z vlastních zdrojů. </w:t>
            </w:r>
          </w:p>
          <w:p w:rsidR="00BB2633" w:rsidRPr="0047510D" w:rsidRDefault="00BB2633" w:rsidP="00BB2633">
            <w:pPr>
              <w:pStyle w:val="Odstavecseseznamem"/>
              <w:spacing w:after="0" w:line="240" w:lineRule="auto"/>
              <w:contextualSpacing w:val="0"/>
              <w:jc w:val="both"/>
            </w:pPr>
          </w:p>
          <w:p w:rsidR="00BB2633" w:rsidRDefault="00BB2633" w:rsidP="00BB2633">
            <w:pPr>
              <w:pStyle w:val="Odstavecseseznamem"/>
              <w:spacing w:after="0" w:line="240" w:lineRule="auto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 w:rsidRPr="0047510D">
              <w:rPr>
                <w:b/>
                <w:sz w:val="24"/>
                <w:szCs w:val="24"/>
                <w:u w:val="single"/>
              </w:rPr>
              <w:t xml:space="preserve">Položka 513 – </w:t>
            </w:r>
            <w:r>
              <w:rPr>
                <w:b/>
                <w:sz w:val="24"/>
                <w:szCs w:val="24"/>
                <w:u w:val="single"/>
              </w:rPr>
              <w:t>náklady na reprezentaci</w:t>
            </w:r>
          </w:p>
          <w:p w:rsidR="00BB2633" w:rsidRPr="00455A1D" w:rsidRDefault="00BB2633" w:rsidP="00BB2633">
            <w:pPr>
              <w:pStyle w:val="Odstavecseseznamem"/>
              <w:spacing w:after="0" w:line="240" w:lineRule="auto"/>
              <w:contextualSpacing w:val="0"/>
              <w:jc w:val="both"/>
              <w:rPr>
                <w:sz w:val="24"/>
                <w:szCs w:val="24"/>
              </w:rPr>
            </w:pPr>
            <w:r w:rsidRPr="0047510D">
              <w:t xml:space="preserve">Návrh finančního plánu ve výši </w:t>
            </w:r>
            <w:r w:rsidR="00D427DA">
              <w:rPr>
                <w:b/>
                <w:u w:val="single"/>
              </w:rPr>
              <w:t>30</w:t>
            </w:r>
            <w:r w:rsidRPr="009B00FF">
              <w:rPr>
                <w:b/>
                <w:u w:val="single"/>
              </w:rPr>
              <w:t> </w:t>
            </w:r>
            <w:r w:rsidRPr="00935A14">
              <w:rPr>
                <w:b/>
                <w:u w:val="single"/>
              </w:rPr>
              <w:t>000,00 Kč</w:t>
            </w:r>
            <w:r w:rsidRPr="00455A1D">
              <w:rPr>
                <w:u w:val="single"/>
              </w:rPr>
              <w:t xml:space="preserve">. </w:t>
            </w:r>
            <w:r>
              <w:t>Krytí z vlastních zdrojů.</w:t>
            </w:r>
          </w:p>
          <w:p w:rsidR="00BB2633" w:rsidRPr="00455A1D" w:rsidRDefault="00BB2633" w:rsidP="00BB263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BB2633" w:rsidRPr="00E91D4B" w:rsidRDefault="00A63351" w:rsidP="00A63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63351">
              <w:rPr>
                <w:b/>
                <w:sz w:val="24"/>
                <w:szCs w:val="24"/>
              </w:rPr>
              <w:t xml:space="preserve">            </w:t>
            </w:r>
            <w:r w:rsidR="00BB2633" w:rsidRPr="00E91D4B">
              <w:rPr>
                <w:b/>
                <w:sz w:val="24"/>
                <w:szCs w:val="24"/>
                <w:u w:val="single"/>
              </w:rPr>
              <w:t>Položka 5</w:t>
            </w:r>
            <w:r w:rsidR="00BB2633">
              <w:rPr>
                <w:b/>
                <w:sz w:val="24"/>
                <w:szCs w:val="24"/>
                <w:u w:val="single"/>
              </w:rPr>
              <w:t>18</w:t>
            </w:r>
            <w:r w:rsidR="00BB2633" w:rsidRPr="00E91D4B">
              <w:rPr>
                <w:b/>
                <w:sz w:val="24"/>
                <w:szCs w:val="24"/>
                <w:u w:val="single"/>
              </w:rPr>
              <w:t xml:space="preserve"> - služby</w:t>
            </w:r>
          </w:p>
          <w:p w:rsidR="00A63351" w:rsidRDefault="00BB2633" w:rsidP="004F6AF2">
            <w:pPr>
              <w:ind w:left="637"/>
              <w:jc w:val="both"/>
            </w:pPr>
            <w:r w:rsidRPr="0047510D">
              <w:t xml:space="preserve">Návrh finančního plánu v celkové výši </w:t>
            </w:r>
            <w:r w:rsidR="00503EDF" w:rsidRPr="00503EDF">
              <w:rPr>
                <w:b/>
                <w:u w:val="single"/>
              </w:rPr>
              <w:t>1 2</w:t>
            </w:r>
            <w:r w:rsidR="00A30684">
              <w:rPr>
                <w:b/>
                <w:u w:val="single"/>
              </w:rPr>
              <w:t>5</w:t>
            </w:r>
            <w:r w:rsidR="00503EDF" w:rsidRPr="00503EDF">
              <w:rPr>
                <w:b/>
                <w:u w:val="single"/>
              </w:rPr>
              <w:t>0</w:t>
            </w:r>
            <w:r w:rsidR="004F6AF2">
              <w:rPr>
                <w:b/>
                <w:u w:val="single"/>
              </w:rPr>
              <w:t xml:space="preserve"> </w:t>
            </w:r>
            <w:r w:rsidRPr="007800A9">
              <w:rPr>
                <w:b/>
                <w:u w:val="single"/>
              </w:rPr>
              <w:t>000,00</w:t>
            </w:r>
            <w:r w:rsidRPr="00F404B3">
              <w:rPr>
                <w:b/>
                <w:u w:val="single"/>
              </w:rPr>
              <w:t xml:space="preserve"> Kč</w:t>
            </w:r>
            <w:r>
              <w:rPr>
                <w:b/>
              </w:rPr>
              <w:t>.</w:t>
            </w:r>
            <w:r w:rsidR="004E4A3A">
              <w:rPr>
                <w:b/>
              </w:rPr>
              <w:t xml:space="preserve">  </w:t>
            </w:r>
            <w:r w:rsidR="007724A0">
              <w:t>O</w:t>
            </w:r>
            <w:r>
              <w:t>bligatorní náklady, spojené se zajištěním provozu Střediska (IT služby,</w:t>
            </w:r>
            <w:r w:rsidR="00AB0CD5">
              <w:t xml:space="preserve"> správa a </w:t>
            </w:r>
            <w:r>
              <w:t>vyúčtování bytů, konzulta</w:t>
            </w:r>
            <w:r w:rsidR="00A30684">
              <w:t xml:space="preserve">ční a poradenské právní služby, </w:t>
            </w:r>
            <w:r>
              <w:t>poradenství</w:t>
            </w:r>
            <w:r w:rsidR="00AB0CD5">
              <w:t xml:space="preserve"> BOZP a PO</w:t>
            </w:r>
            <w:r>
              <w:t xml:space="preserve">, GPS </w:t>
            </w:r>
            <w:r w:rsidR="00AB0CD5">
              <w:t xml:space="preserve">na pět </w:t>
            </w:r>
            <w:proofErr w:type="gramStart"/>
            <w:r w:rsidR="00AB0CD5">
              <w:t xml:space="preserve">vozidel - </w:t>
            </w:r>
            <w:r>
              <w:t>roční</w:t>
            </w:r>
            <w:proofErr w:type="gramEnd"/>
            <w:r>
              <w:t xml:space="preserve"> poplatek, </w:t>
            </w:r>
            <w:r w:rsidR="00A63351">
              <w:t xml:space="preserve">provádění deratizace-desinsekce, </w:t>
            </w:r>
            <w:r w:rsidR="007724A0">
              <w:t xml:space="preserve">telefonní poplatky, </w:t>
            </w:r>
            <w:r>
              <w:t>bankovní</w:t>
            </w:r>
            <w:r w:rsidR="00A63351">
              <w:t xml:space="preserve"> poplatky, odvoz odpadu</w:t>
            </w:r>
            <w:r w:rsidR="00AB0CD5">
              <w:t>, platby za aktivizační služby canisterapie, muzikoterapie</w:t>
            </w:r>
            <w:r w:rsidR="00A63351">
              <w:t xml:space="preserve"> aj.</w:t>
            </w:r>
            <w:r w:rsidR="00AB0CD5">
              <w:t xml:space="preserve"> pro klienty v denním stacionáři</w:t>
            </w:r>
            <w:r w:rsidR="00A63351">
              <w:t>)</w:t>
            </w:r>
            <w:r w:rsidR="00AB0CD5">
              <w:t xml:space="preserve">. </w:t>
            </w:r>
            <w:r w:rsidR="00D427DA">
              <w:t xml:space="preserve"> </w:t>
            </w:r>
            <w:r w:rsidR="00AB0CD5">
              <w:t xml:space="preserve">Náklady jsou navýšeny oproti roku 2025 o 50 000,00 Kč. </w:t>
            </w:r>
            <w:r w:rsidR="00A63351">
              <w:t xml:space="preserve"> Krytí z vlastních zdrojů</w:t>
            </w:r>
            <w:r w:rsidR="007724A0">
              <w:t>.</w:t>
            </w:r>
          </w:p>
          <w:p w:rsidR="00943274" w:rsidRDefault="00943274" w:rsidP="00091172">
            <w:pPr>
              <w:tabs>
                <w:tab w:val="left" w:pos="5180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t xml:space="preserve">             </w:t>
            </w:r>
            <w:r w:rsidRPr="00E91D4B">
              <w:rPr>
                <w:b/>
                <w:sz w:val="24"/>
                <w:szCs w:val="24"/>
                <w:u w:val="single"/>
              </w:rPr>
              <w:t>Položk</w:t>
            </w:r>
            <w:r>
              <w:rPr>
                <w:b/>
                <w:sz w:val="24"/>
                <w:szCs w:val="24"/>
                <w:u w:val="single"/>
              </w:rPr>
              <w:t>y</w:t>
            </w:r>
            <w:r w:rsidRPr="00E91D4B">
              <w:rPr>
                <w:b/>
                <w:sz w:val="24"/>
                <w:szCs w:val="24"/>
                <w:u w:val="single"/>
              </w:rPr>
              <w:t xml:space="preserve"> 5</w:t>
            </w:r>
            <w:r>
              <w:rPr>
                <w:b/>
                <w:sz w:val="24"/>
                <w:szCs w:val="24"/>
                <w:u w:val="single"/>
              </w:rPr>
              <w:t>21,524,527</w:t>
            </w:r>
            <w:r w:rsidRPr="00E91D4B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–</w:t>
            </w:r>
            <w:r w:rsidRPr="00E91D4B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 xml:space="preserve">mzdové náklady, 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odvody  SP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,ZP a příspěvek FKSP</w:t>
            </w:r>
          </w:p>
          <w:p w:rsidR="00943274" w:rsidRDefault="00943274" w:rsidP="009432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274">
              <w:rPr>
                <w:b/>
                <w:sz w:val="24"/>
                <w:szCs w:val="24"/>
              </w:rPr>
              <w:t xml:space="preserve">           </w:t>
            </w:r>
            <w:r w:rsidR="00F412DD">
              <w:rPr>
                <w:b/>
                <w:sz w:val="24"/>
                <w:szCs w:val="24"/>
                <w:u w:val="single"/>
              </w:rPr>
              <w:t>Jsou tvořeny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:rsidR="00943274" w:rsidRDefault="00943274" w:rsidP="0094327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63351" w:rsidRPr="00091172" w:rsidRDefault="00F412DD" w:rsidP="009D08B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z </w:t>
            </w:r>
            <w:r w:rsidR="00A63351" w:rsidRPr="00091172">
              <w:rPr>
                <w:b/>
              </w:rPr>
              <w:t>příspěvku zřizovatele UZ 079</w:t>
            </w:r>
            <w:r w:rsidR="00A63351" w:rsidRPr="00943274">
              <w:rPr>
                <w:u w:val="single"/>
              </w:rPr>
              <w:t xml:space="preserve"> </w:t>
            </w:r>
            <w:r w:rsidR="00A63351" w:rsidRPr="00091172">
              <w:rPr>
                <w:b/>
              </w:rPr>
              <w:t xml:space="preserve">ve výši </w:t>
            </w:r>
            <w:r w:rsidR="00AB0CD5">
              <w:rPr>
                <w:b/>
              </w:rPr>
              <w:t>14 521</w:t>
            </w:r>
            <w:r w:rsidR="00A56432" w:rsidRPr="00091172">
              <w:rPr>
                <w:b/>
              </w:rPr>
              <w:t xml:space="preserve"> 000</w:t>
            </w:r>
            <w:r w:rsidR="00091172">
              <w:rPr>
                <w:b/>
              </w:rPr>
              <w:t>,00 Kč</w:t>
            </w:r>
          </w:p>
          <w:p w:rsidR="00091172" w:rsidRDefault="00091172" w:rsidP="00091172">
            <w:pPr>
              <w:spacing w:after="0" w:line="240" w:lineRule="auto"/>
              <w:ind w:firstLine="708"/>
              <w:jc w:val="both"/>
            </w:pPr>
          </w:p>
          <w:p w:rsidR="00091172" w:rsidRPr="00DF248C" w:rsidRDefault="00091172" w:rsidP="00091172">
            <w:pPr>
              <w:spacing w:after="0" w:line="240" w:lineRule="auto"/>
              <w:ind w:firstLine="708"/>
              <w:jc w:val="both"/>
            </w:pPr>
            <w:r w:rsidRPr="00DF248C">
              <w:t>521 MP</w:t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>
              <w:t xml:space="preserve">                             </w:t>
            </w:r>
            <w:r w:rsidR="00AB0CD5">
              <w:rPr>
                <w:b/>
              </w:rPr>
              <w:t>10 772 000</w:t>
            </w:r>
            <w:r>
              <w:rPr>
                <w:b/>
              </w:rPr>
              <w:t>,</w:t>
            </w:r>
            <w:r w:rsidRPr="00DF248C">
              <w:rPr>
                <w:b/>
              </w:rPr>
              <w:t>00 Kč</w:t>
            </w:r>
            <w:r w:rsidRPr="00DF248C">
              <w:tab/>
            </w:r>
            <w:r w:rsidRPr="00DF248C">
              <w:tab/>
            </w:r>
            <w:r w:rsidRPr="00DF248C">
              <w:tab/>
            </w:r>
          </w:p>
          <w:p w:rsidR="00091172" w:rsidRPr="00DF248C" w:rsidRDefault="00091172" w:rsidP="00091172">
            <w:pPr>
              <w:pStyle w:val="Odstavecseseznamem"/>
              <w:ind w:left="708"/>
              <w:jc w:val="both"/>
              <w:rPr>
                <w:b/>
              </w:rPr>
            </w:pPr>
            <w:r w:rsidRPr="00DF248C">
              <w:t>524 SP, ZP</w:t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>
              <w:t xml:space="preserve">                              </w:t>
            </w:r>
            <w:r w:rsidRPr="00091172">
              <w:rPr>
                <w:b/>
              </w:rPr>
              <w:t>3</w:t>
            </w:r>
            <w:r w:rsidR="00AB0CD5">
              <w:rPr>
                <w:b/>
              </w:rPr>
              <w:t> 641 000</w:t>
            </w:r>
            <w:r w:rsidRPr="00091172">
              <w:rPr>
                <w:b/>
              </w:rPr>
              <w:t>,00</w:t>
            </w:r>
            <w:r w:rsidRPr="00DF248C">
              <w:rPr>
                <w:b/>
              </w:rPr>
              <w:t xml:space="preserve"> Kč</w:t>
            </w:r>
          </w:p>
          <w:p w:rsidR="00A63351" w:rsidRPr="00EB176A" w:rsidRDefault="00091172" w:rsidP="00091172">
            <w:pPr>
              <w:pStyle w:val="Odstavecseseznamem"/>
              <w:ind w:left="708"/>
              <w:jc w:val="both"/>
            </w:pPr>
            <w:r w:rsidRPr="00DF248C">
              <w:t xml:space="preserve">527 odvody do FKSP                          </w:t>
            </w:r>
            <w:r w:rsidR="00AB0CD5">
              <w:t xml:space="preserve">                            </w:t>
            </w:r>
            <w:r w:rsidR="00AB0CD5" w:rsidRPr="00AB0CD5">
              <w:rPr>
                <w:b/>
              </w:rPr>
              <w:t>108 000</w:t>
            </w:r>
            <w:r w:rsidRPr="00DF248C">
              <w:rPr>
                <w:b/>
              </w:rPr>
              <w:t>,00 Kč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</w:p>
          <w:p w:rsidR="00A63351" w:rsidRDefault="00A63351" w:rsidP="00A63351">
            <w:pPr>
              <w:pStyle w:val="Odstavecseseznamem"/>
              <w:spacing w:after="0" w:line="240" w:lineRule="auto"/>
              <w:ind w:left="709"/>
              <w:contextualSpacing w:val="0"/>
              <w:jc w:val="both"/>
              <w:rPr>
                <w:b/>
              </w:rPr>
            </w:pPr>
          </w:p>
          <w:p w:rsidR="00A63351" w:rsidRPr="00091172" w:rsidRDefault="00F412DD" w:rsidP="00091172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rPr>
                <w:b/>
              </w:rPr>
              <w:t>žádostmi</w:t>
            </w:r>
            <w:r w:rsidR="00726689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091172">
              <w:rPr>
                <w:b/>
              </w:rPr>
              <w:t>žá</w:t>
            </w:r>
            <w:r w:rsidR="00091172" w:rsidRPr="00091172">
              <w:rPr>
                <w:b/>
              </w:rPr>
              <w:t>dan</w:t>
            </w:r>
            <w:r w:rsidR="00726689">
              <w:rPr>
                <w:b/>
              </w:rPr>
              <w:t>ých</w:t>
            </w:r>
            <w:r w:rsidR="00091172" w:rsidRPr="00091172">
              <w:rPr>
                <w:b/>
              </w:rPr>
              <w:t xml:space="preserve"> v rámci grantov</w:t>
            </w:r>
            <w:r w:rsidR="00091172">
              <w:rPr>
                <w:b/>
              </w:rPr>
              <w:t xml:space="preserve">ého a dotačního řízení ve výši </w:t>
            </w:r>
            <w:r w:rsidR="00AB0CD5">
              <w:rPr>
                <w:b/>
              </w:rPr>
              <w:t>1 404</w:t>
            </w:r>
            <w:r w:rsidR="00091172" w:rsidRPr="00091172">
              <w:rPr>
                <w:b/>
              </w:rPr>
              <w:t> 000,00 Kč</w:t>
            </w:r>
            <w:r w:rsidR="00A63351" w:rsidRPr="00091172">
              <w:rPr>
                <w:b/>
              </w:rPr>
              <w:tab/>
            </w:r>
          </w:p>
          <w:p w:rsidR="00A63351" w:rsidRPr="00DF248C" w:rsidRDefault="00A63351" w:rsidP="00A63351">
            <w:pPr>
              <w:spacing w:after="0" w:line="240" w:lineRule="auto"/>
              <w:ind w:firstLine="708"/>
              <w:jc w:val="both"/>
            </w:pPr>
            <w:r w:rsidRPr="00DF248C">
              <w:t>521 MP</w:t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 w:rsidR="00A56432">
              <w:t xml:space="preserve">                            </w:t>
            </w:r>
            <w:r w:rsidR="00AB0CD5">
              <w:t xml:space="preserve"> </w:t>
            </w:r>
            <w:r w:rsidR="00D427DA">
              <w:t xml:space="preserve"> </w:t>
            </w:r>
            <w:r w:rsidR="00AB0CD5">
              <w:t xml:space="preserve"> </w:t>
            </w:r>
            <w:r w:rsidR="00AB0CD5" w:rsidRPr="00AB0CD5">
              <w:rPr>
                <w:b/>
              </w:rPr>
              <w:t xml:space="preserve">1 041 </w:t>
            </w:r>
            <w:r w:rsidR="00AB0CD5">
              <w:rPr>
                <w:b/>
              </w:rPr>
              <w:t>5</w:t>
            </w:r>
            <w:r w:rsidR="00AB0CD5" w:rsidRPr="00AB0CD5">
              <w:rPr>
                <w:b/>
              </w:rPr>
              <w:t>00</w:t>
            </w:r>
            <w:r w:rsidRPr="00DF248C">
              <w:rPr>
                <w:b/>
              </w:rPr>
              <w:t>,00 Kč</w:t>
            </w:r>
            <w:r w:rsidRPr="00DF248C">
              <w:tab/>
            </w:r>
            <w:r w:rsidRPr="00DF248C">
              <w:tab/>
            </w:r>
            <w:r w:rsidRPr="00DF248C">
              <w:tab/>
            </w:r>
          </w:p>
          <w:p w:rsidR="00A63351" w:rsidRPr="00DF248C" w:rsidRDefault="00A63351" w:rsidP="00A63351">
            <w:pPr>
              <w:pStyle w:val="Odstavecseseznamem"/>
              <w:ind w:left="708"/>
              <w:jc w:val="both"/>
              <w:rPr>
                <w:b/>
              </w:rPr>
            </w:pPr>
            <w:r w:rsidRPr="00DF248C">
              <w:t>524 SP, ZP</w:t>
            </w:r>
            <w:r w:rsidRPr="00DF248C">
              <w:tab/>
            </w:r>
            <w:r w:rsidRPr="00DF248C">
              <w:tab/>
            </w:r>
            <w:r w:rsidRPr="00DF248C">
              <w:tab/>
            </w:r>
            <w:r w:rsidR="00AB0CD5">
              <w:t xml:space="preserve">                                  </w:t>
            </w:r>
            <w:r w:rsidR="00AB0CD5">
              <w:rPr>
                <w:b/>
              </w:rPr>
              <w:t>352 000</w:t>
            </w:r>
            <w:r w:rsidR="00A56432">
              <w:t>,</w:t>
            </w:r>
            <w:r w:rsidRPr="00DF248C">
              <w:rPr>
                <w:b/>
              </w:rPr>
              <w:t>00 Kč</w:t>
            </w:r>
          </w:p>
          <w:p w:rsidR="009772DE" w:rsidRDefault="00450324" w:rsidP="00A63351">
            <w:pPr>
              <w:pStyle w:val="Odstavecseseznamem"/>
              <w:ind w:left="708"/>
              <w:jc w:val="both"/>
              <w:rPr>
                <w:b/>
              </w:rPr>
            </w:pPr>
            <w:r w:rsidRPr="00DF248C">
              <w:t>527 odvody do FKSP</w:t>
            </w:r>
            <w:r w:rsidR="009B00FF" w:rsidRPr="00DF248C">
              <w:t xml:space="preserve">                          </w:t>
            </w:r>
            <w:r w:rsidR="00A56432">
              <w:t xml:space="preserve">                          </w:t>
            </w:r>
            <w:r w:rsidR="00AB0CD5">
              <w:t xml:space="preserve">     </w:t>
            </w:r>
            <w:r w:rsidR="00AB0CD5" w:rsidRPr="00AB0CD5">
              <w:rPr>
                <w:b/>
              </w:rPr>
              <w:t>10 500</w:t>
            </w:r>
            <w:r w:rsidR="009B00FF" w:rsidRPr="00DF248C">
              <w:rPr>
                <w:b/>
              </w:rPr>
              <w:t>,00 Kč</w:t>
            </w:r>
            <w:r w:rsidR="00A56432">
              <w:rPr>
                <w:b/>
              </w:rPr>
              <w:t xml:space="preserve">      </w:t>
            </w:r>
          </w:p>
          <w:p w:rsidR="009772DE" w:rsidRDefault="009772DE" w:rsidP="00A63351">
            <w:pPr>
              <w:pStyle w:val="Odstavecseseznamem"/>
              <w:ind w:left="708"/>
              <w:jc w:val="both"/>
              <w:rPr>
                <w:b/>
              </w:rPr>
            </w:pPr>
          </w:p>
          <w:p w:rsidR="00450324" w:rsidRDefault="00A56432" w:rsidP="00A63351">
            <w:pPr>
              <w:pStyle w:val="Odstavecseseznamem"/>
              <w:ind w:left="708"/>
              <w:jc w:val="both"/>
            </w:pPr>
            <w:r>
              <w:rPr>
                <w:b/>
              </w:rPr>
              <w:t xml:space="preserve">                                                                                                 </w:t>
            </w:r>
          </w:p>
          <w:p w:rsidR="00450324" w:rsidRDefault="00A56432" w:rsidP="00A63351">
            <w:pPr>
              <w:pStyle w:val="Odstavecseseznamem"/>
              <w:ind w:left="708"/>
              <w:jc w:val="both"/>
            </w:pPr>
            <w:r>
              <w:lastRenderedPageBreak/>
              <w:t xml:space="preserve">  </w:t>
            </w:r>
          </w:p>
          <w:p w:rsidR="003E2A18" w:rsidRPr="00091172" w:rsidRDefault="003E2A18" w:rsidP="00091172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091172">
              <w:rPr>
                <w:b/>
                <w:u w:val="single"/>
              </w:rPr>
              <w:t xml:space="preserve">z vlastních zdrojů v celkové </w:t>
            </w:r>
            <w:proofErr w:type="gramStart"/>
            <w:r w:rsidRPr="00091172">
              <w:rPr>
                <w:b/>
                <w:u w:val="single"/>
              </w:rPr>
              <w:t xml:space="preserve">výši  </w:t>
            </w:r>
            <w:r w:rsidR="00091172">
              <w:rPr>
                <w:b/>
                <w:u w:val="single"/>
              </w:rPr>
              <w:t>2</w:t>
            </w:r>
            <w:proofErr w:type="gramEnd"/>
            <w:r w:rsidR="00900CBF">
              <w:rPr>
                <w:b/>
                <w:u w:val="single"/>
              </w:rPr>
              <w:t> 89</w:t>
            </w:r>
            <w:r w:rsidR="00726689">
              <w:rPr>
                <w:b/>
                <w:u w:val="single"/>
              </w:rPr>
              <w:t>8</w:t>
            </w:r>
            <w:r w:rsidR="00900CBF">
              <w:rPr>
                <w:b/>
                <w:u w:val="single"/>
              </w:rPr>
              <w:t xml:space="preserve"> 200</w:t>
            </w:r>
            <w:r w:rsidR="00CD6E09" w:rsidRPr="00091172">
              <w:rPr>
                <w:b/>
                <w:u w:val="single"/>
              </w:rPr>
              <w:t>,00</w:t>
            </w:r>
            <w:r w:rsidRPr="00091172">
              <w:rPr>
                <w:b/>
                <w:u w:val="single"/>
              </w:rPr>
              <w:t xml:space="preserve"> Kč.</w:t>
            </w:r>
            <w:r w:rsidRPr="00091172">
              <w:rPr>
                <w:b/>
              </w:rPr>
              <w:tab/>
            </w:r>
          </w:p>
          <w:p w:rsidR="00450324" w:rsidRDefault="003E2A18" w:rsidP="00A63351">
            <w:pPr>
              <w:pStyle w:val="Odstavecseseznamem"/>
              <w:ind w:left="708"/>
              <w:jc w:val="both"/>
              <w:rPr>
                <w:b/>
              </w:rPr>
            </w:pPr>
            <w:r w:rsidRPr="003E2A18">
              <w:t>521 OON</w:t>
            </w:r>
            <w:r>
              <w:t xml:space="preserve">                                           </w:t>
            </w:r>
            <w:r w:rsidR="00B76194">
              <w:t xml:space="preserve">                           </w:t>
            </w:r>
            <w:r w:rsidR="009772DE">
              <w:t xml:space="preserve"> </w:t>
            </w:r>
            <w:r w:rsidR="009772DE">
              <w:rPr>
                <w:b/>
              </w:rPr>
              <w:t>2</w:t>
            </w:r>
            <w:r w:rsidR="00900CBF">
              <w:rPr>
                <w:b/>
              </w:rPr>
              <w:t> 186 500</w:t>
            </w:r>
            <w:r w:rsidR="00D427DA">
              <w:t>,</w:t>
            </w:r>
            <w:r w:rsidRPr="003E2A18">
              <w:rPr>
                <w:b/>
              </w:rPr>
              <w:t>00 Kč</w:t>
            </w:r>
          </w:p>
          <w:p w:rsidR="00D427DA" w:rsidRPr="003E2A18" w:rsidRDefault="00D427DA" w:rsidP="00A63351">
            <w:pPr>
              <w:pStyle w:val="Odstavecseseznamem"/>
              <w:ind w:left="708"/>
              <w:jc w:val="both"/>
              <w:rPr>
                <w:b/>
              </w:rPr>
            </w:pPr>
            <w:r>
              <w:t xml:space="preserve">524 odvozy ZP, SP                                                         </w:t>
            </w:r>
            <w:r w:rsidR="00091172">
              <w:t xml:space="preserve"> </w:t>
            </w:r>
            <w:r w:rsidR="009772DE">
              <w:rPr>
                <w:b/>
              </w:rPr>
              <w:t>637 600</w:t>
            </w:r>
            <w:r w:rsidRPr="00D427DA">
              <w:rPr>
                <w:b/>
              </w:rPr>
              <w:t>,00 Kč</w:t>
            </w:r>
          </w:p>
          <w:p w:rsidR="003E2A18" w:rsidRDefault="00A63351" w:rsidP="003E2A18">
            <w:pPr>
              <w:pStyle w:val="Odstavecseseznamem"/>
              <w:ind w:left="5103" w:hanging="4395"/>
            </w:pPr>
            <w:r w:rsidRPr="009E6401">
              <w:t xml:space="preserve">525 </w:t>
            </w:r>
            <w:r w:rsidR="003E2A18">
              <w:t xml:space="preserve">úraz, nemoc z povolání              </w:t>
            </w:r>
            <w:r w:rsidR="00B76194">
              <w:t xml:space="preserve">                            </w:t>
            </w:r>
            <w:r w:rsidR="00091172">
              <w:t xml:space="preserve"> </w:t>
            </w:r>
            <w:r w:rsidR="00D427DA">
              <w:rPr>
                <w:b/>
              </w:rPr>
              <w:t>5</w:t>
            </w:r>
            <w:r w:rsidR="00FA4997">
              <w:rPr>
                <w:b/>
              </w:rPr>
              <w:t>0</w:t>
            </w:r>
            <w:r w:rsidRPr="00F84DC5">
              <w:rPr>
                <w:b/>
              </w:rPr>
              <w:t> </w:t>
            </w:r>
            <w:r w:rsidR="009772DE">
              <w:rPr>
                <w:b/>
              </w:rPr>
              <w:t>5</w:t>
            </w:r>
            <w:r w:rsidRPr="00F84DC5">
              <w:rPr>
                <w:b/>
              </w:rPr>
              <w:t>00,00 Kč</w:t>
            </w:r>
            <w:r>
              <w:t xml:space="preserve"> </w:t>
            </w:r>
          </w:p>
          <w:p w:rsidR="00D427DA" w:rsidRDefault="00D427DA" w:rsidP="00091172">
            <w:pPr>
              <w:pStyle w:val="Odstavecseseznamem"/>
              <w:ind w:left="5038" w:hanging="4330"/>
              <w:rPr>
                <w:b/>
              </w:rPr>
            </w:pPr>
            <w:r>
              <w:t xml:space="preserve">527 odvody FKSP                                                             </w:t>
            </w:r>
            <w:r w:rsidR="009772DE">
              <w:t xml:space="preserve"> </w:t>
            </w:r>
            <w:r w:rsidR="009772DE">
              <w:rPr>
                <w:b/>
              </w:rPr>
              <w:t>16 600</w:t>
            </w:r>
            <w:r w:rsidRPr="00D427DA">
              <w:rPr>
                <w:b/>
              </w:rPr>
              <w:t>,00 Kč</w:t>
            </w:r>
          </w:p>
          <w:p w:rsidR="00091172" w:rsidRDefault="00091172" w:rsidP="00091172">
            <w:pPr>
              <w:pStyle w:val="Odstavecseseznamem"/>
              <w:ind w:left="5038" w:hanging="4330"/>
            </w:pPr>
          </w:p>
          <w:p w:rsidR="00D427DA" w:rsidRDefault="00A63351" w:rsidP="00D427DA">
            <w:pPr>
              <w:pStyle w:val="Odstavecseseznamem"/>
              <w:ind w:left="5103" w:hanging="4395"/>
              <w:rPr>
                <w:b/>
              </w:rPr>
            </w:pPr>
            <w:r w:rsidRPr="009E6401">
              <w:t xml:space="preserve">527 </w:t>
            </w:r>
            <w:r w:rsidR="009772DE">
              <w:t xml:space="preserve">paušál stravného  </w:t>
            </w:r>
            <w:r w:rsidR="00407E2B">
              <w:t xml:space="preserve">      </w:t>
            </w:r>
            <w:r w:rsidR="003E2A18">
              <w:t xml:space="preserve">    </w:t>
            </w:r>
            <w:r w:rsidR="00FA4997">
              <w:t xml:space="preserve"> </w:t>
            </w:r>
            <w:r w:rsidR="009772DE">
              <w:t xml:space="preserve">                                       </w:t>
            </w:r>
            <w:r w:rsidR="009772DE">
              <w:rPr>
                <w:b/>
              </w:rPr>
              <w:t>516 800</w:t>
            </w:r>
            <w:r w:rsidRPr="003E2A18">
              <w:rPr>
                <w:b/>
              </w:rPr>
              <w:t xml:space="preserve">,00 Kč </w:t>
            </w:r>
          </w:p>
          <w:p w:rsidR="009772DE" w:rsidRDefault="009772DE" w:rsidP="00D427DA">
            <w:pPr>
              <w:pStyle w:val="Odstavecseseznamem"/>
              <w:ind w:left="5103" w:hanging="4395"/>
              <w:rPr>
                <w:b/>
              </w:rPr>
            </w:pPr>
            <w:r w:rsidRPr="009772DE">
              <w:t>(</w:t>
            </w:r>
            <w:proofErr w:type="gramStart"/>
            <w:r w:rsidRPr="009772DE">
              <w:t>odhad -poníženo</w:t>
            </w:r>
            <w:proofErr w:type="gramEnd"/>
            <w:r w:rsidRPr="009772DE">
              <w:t xml:space="preserve"> o dovolené a nemoci</w:t>
            </w:r>
            <w:r>
              <w:rPr>
                <w:b/>
              </w:rPr>
              <w:t>)</w:t>
            </w:r>
          </w:p>
          <w:p w:rsidR="00407E2B" w:rsidRPr="00B30745" w:rsidRDefault="009772DE" w:rsidP="009772DE">
            <w:pPr>
              <w:pStyle w:val="Odstavecseseznamem"/>
              <w:ind w:left="1062" w:hanging="354"/>
              <w:rPr>
                <w:b/>
              </w:rPr>
            </w:pPr>
            <w:r>
              <w:t xml:space="preserve">527 lékařské prohlídky, povinná školení </w:t>
            </w:r>
            <w:proofErr w:type="gramStart"/>
            <w:r>
              <w:t>zaměstnanců- pracovníků</w:t>
            </w:r>
            <w:proofErr w:type="gramEnd"/>
            <w:r>
              <w:t xml:space="preserve"> v sociálních službách, pořízení OPP</w:t>
            </w:r>
            <w:r w:rsidR="00B30745">
              <w:t xml:space="preserve">                                                            </w:t>
            </w:r>
            <w:r w:rsidR="00B30745" w:rsidRPr="00B30745">
              <w:rPr>
                <w:b/>
              </w:rPr>
              <w:t>140 000,00 Kč</w:t>
            </w:r>
          </w:p>
          <w:p w:rsidR="00A63351" w:rsidRPr="00E4727E" w:rsidRDefault="00A63351" w:rsidP="00A63351">
            <w:pPr>
              <w:pStyle w:val="Odstavecseseznamem"/>
              <w:ind w:left="708"/>
              <w:jc w:val="both"/>
            </w:pPr>
          </w:p>
          <w:p w:rsidR="00A63351" w:rsidRPr="00B30745" w:rsidRDefault="00B30745" w:rsidP="00B30745">
            <w:pPr>
              <w:spacing w:after="120"/>
              <w:jc w:val="both"/>
              <w:rPr>
                <w:b/>
                <w:sz w:val="24"/>
                <w:szCs w:val="24"/>
                <w:u w:val="single"/>
              </w:rPr>
            </w:pPr>
            <w:r w:rsidRPr="00B30745">
              <w:rPr>
                <w:b/>
                <w:sz w:val="24"/>
                <w:szCs w:val="24"/>
              </w:rPr>
              <w:t xml:space="preserve">            </w:t>
            </w:r>
            <w:r w:rsidR="00A63351" w:rsidRPr="00B30745">
              <w:rPr>
                <w:b/>
                <w:sz w:val="24"/>
                <w:szCs w:val="24"/>
                <w:u w:val="single"/>
              </w:rPr>
              <w:t>Komentář k</w:t>
            </w:r>
            <w:r w:rsidR="00D4618C">
              <w:rPr>
                <w:b/>
                <w:sz w:val="24"/>
                <w:szCs w:val="24"/>
                <w:u w:val="single"/>
              </w:rPr>
              <w:t>e</w:t>
            </w:r>
            <w:r w:rsidR="00A63351" w:rsidRPr="00B30745">
              <w:rPr>
                <w:b/>
                <w:sz w:val="24"/>
                <w:szCs w:val="24"/>
                <w:u w:val="single"/>
              </w:rPr>
              <w:t xml:space="preserve"> mzdovým nákladům:</w:t>
            </w:r>
          </w:p>
          <w:p w:rsidR="00A63351" w:rsidRPr="008041E1" w:rsidRDefault="00A63351" w:rsidP="00A63351">
            <w:pPr>
              <w:spacing w:after="0" w:line="240" w:lineRule="auto"/>
              <w:ind w:left="709"/>
              <w:jc w:val="both"/>
              <w:rPr>
                <w:sz w:val="24"/>
                <w:szCs w:val="24"/>
              </w:rPr>
            </w:pPr>
            <w:r w:rsidRPr="008041E1">
              <w:rPr>
                <w:sz w:val="24"/>
                <w:szCs w:val="24"/>
              </w:rPr>
              <w:t xml:space="preserve">Rozpočet na mzdové náklady je sestaven podle skutečných pracovních úvazků (HM a odvodů na SP, ZP a zákonného přídělu do FKSP). </w:t>
            </w:r>
          </w:p>
          <w:p w:rsidR="00B30745" w:rsidRDefault="00B30745" w:rsidP="008041E1">
            <w:pPr>
              <w:spacing w:after="0" w:line="240" w:lineRule="auto"/>
              <w:ind w:left="709"/>
              <w:jc w:val="both"/>
              <w:rPr>
                <w:sz w:val="24"/>
                <w:szCs w:val="24"/>
              </w:rPr>
            </w:pPr>
            <w:r w:rsidRPr="008041E1">
              <w:rPr>
                <w:sz w:val="24"/>
                <w:szCs w:val="24"/>
              </w:rPr>
              <w:t>M</w:t>
            </w:r>
            <w:r w:rsidR="001E2DC7" w:rsidRPr="008041E1">
              <w:rPr>
                <w:sz w:val="24"/>
                <w:szCs w:val="24"/>
              </w:rPr>
              <w:t>zdové náklady jsou vyšší oproti roku 2025 z důvodu navýšení mzdových tarifů od 1.</w:t>
            </w:r>
            <w:r w:rsidR="003B5199" w:rsidRPr="008041E1">
              <w:rPr>
                <w:sz w:val="24"/>
                <w:szCs w:val="24"/>
              </w:rPr>
              <w:t xml:space="preserve"> </w:t>
            </w:r>
            <w:r w:rsidR="001E2DC7" w:rsidRPr="008041E1">
              <w:rPr>
                <w:sz w:val="24"/>
                <w:szCs w:val="24"/>
              </w:rPr>
              <w:t>1.</w:t>
            </w:r>
            <w:r w:rsidR="003B5199" w:rsidRPr="008041E1">
              <w:rPr>
                <w:sz w:val="24"/>
                <w:szCs w:val="24"/>
              </w:rPr>
              <w:t xml:space="preserve"> </w:t>
            </w:r>
            <w:r w:rsidR="008041E1" w:rsidRPr="008041E1">
              <w:rPr>
                <w:sz w:val="24"/>
                <w:szCs w:val="24"/>
              </w:rPr>
              <w:t>2025 (Nařízení</w:t>
            </w:r>
            <w:r w:rsidRPr="008041E1">
              <w:rPr>
                <w:sz w:val="24"/>
                <w:szCs w:val="24"/>
              </w:rPr>
              <w:t xml:space="preserve"> Vlády ČR č. 466/2024 Sb.)</w:t>
            </w:r>
            <w:r w:rsidR="008041E1" w:rsidRPr="008041E1">
              <w:rPr>
                <w:sz w:val="24"/>
                <w:szCs w:val="24"/>
              </w:rPr>
              <w:t>. Jedná se o navýšení o cca 600 000,00 Kč včetně zákonných sociálních odvodů a dále pak přiznání zvláštního příplatku za práci ve ztíženém pracovním prostředí pracovníkům v sociálních službách. Navýšení včetně zákonných sociálních odvodů je ve výši</w:t>
            </w:r>
            <w:r w:rsidR="008041E1">
              <w:rPr>
                <w:sz w:val="24"/>
                <w:szCs w:val="24"/>
              </w:rPr>
              <w:t xml:space="preserve"> cca</w:t>
            </w:r>
            <w:r w:rsidR="008041E1" w:rsidRPr="008041E1">
              <w:rPr>
                <w:sz w:val="24"/>
                <w:szCs w:val="24"/>
              </w:rPr>
              <w:t xml:space="preserve"> 700 000,00 Kč. </w:t>
            </w:r>
            <w:r w:rsidRPr="008041E1">
              <w:rPr>
                <w:sz w:val="24"/>
                <w:szCs w:val="24"/>
              </w:rPr>
              <w:t xml:space="preserve">Průměrná výše zvláštního příplatku na zaměstnance je </w:t>
            </w:r>
            <w:r w:rsidR="008041E1">
              <w:rPr>
                <w:sz w:val="24"/>
                <w:szCs w:val="24"/>
              </w:rPr>
              <w:t xml:space="preserve">ve výši </w:t>
            </w:r>
            <w:r w:rsidRPr="008041E1">
              <w:rPr>
                <w:sz w:val="24"/>
                <w:szCs w:val="24"/>
              </w:rPr>
              <w:t>2.994,- Kč s tím, že jeho výše je u jednotlivých zaměstnanců diferenciována dle charakteru práce.</w:t>
            </w:r>
            <w:r w:rsidR="008041E1">
              <w:rPr>
                <w:sz w:val="24"/>
                <w:szCs w:val="24"/>
              </w:rPr>
              <w:t xml:space="preserve"> </w:t>
            </w:r>
          </w:p>
          <w:p w:rsidR="008041E1" w:rsidRPr="008041E1" w:rsidRDefault="008041E1" w:rsidP="008041E1">
            <w:pPr>
              <w:spacing w:after="0" w:line="240" w:lineRule="auto"/>
              <w:ind w:left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celkových nákladů </w:t>
            </w:r>
            <w:r w:rsidR="005200F5">
              <w:rPr>
                <w:sz w:val="24"/>
                <w:szCs w:val="24"/>
              </w:rPr>
              <w:t xml:space="preserve">je započítán jeden úvazek na nového pracovníka v sociálních službách </w:t>
            </w:r>
            <w:r>
              <w:rPr>
                <w:sz w:val="24"/>
                <w:szCs w:val="24"/>
              </w:rPr>
              <w:t>– řidič/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/-pečovatel/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 w:rsidR="005200F5">
              <w:rPr>
                <w:sz w:val="24"/>
                <w:szCs w:val="24"/>
              </w:rPr>
              <w:t xml:space="preserve"> s nástupem od 1. 1. 2026.</w:t>
            </w:r>
          </w:p>
          <w:p w:rsidR="00B30745" w:rsidRDefault="00B30745" w:rsidP="00A63351">
            <w:pPr>
              <w:spacing w:after="0" w:line="240" w:lineRule="auto"/>
              <w:ind w:left="709"/>
              <w:jc w:val="both"/>
              <w:rPr>
                <w:b/>
                <w:sz w:val="24"/>
                <w:szCs w:val="24"/>
              </w:rPr>
            </w:pPr>
          </w:p>
          <w:p w:rsidR="00A63351" w:rsidRPr="00203B52" w:rsidRDefault="00A63351" w:rsidP="00A63351">
            <w:pPr>
              <w:ind w:left="637"/>
              <w:jc w:val="both"/>
            </w:pPr>
          </w:p>
          <w:p w:rsidR="009A3743" w:rsidRPr="009A3743" w:rsidRDefault="009A3743" w:rsidP="009A374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A3743">
              <w:rPr>
                <w:b/>
                <w:sz w:val="24"/>
                <w:szCs w:val="24"/>
              </w:rPr>
              <w:t xml:space="preserve">             </w:t>
            </w:r>
            <w:r w:rsidRPr="009A3743">
              <w:rPr>
                <w:b/>
                <w:sz w:val="24"/>
                <w:szCs w:val="24"/>
                <w:u w:val="single"/>
              </w:rPr>
              <w:t>Položka 549 - pojištění</w:t>
            </w:r>
          </w:p>
          <w:p w:rsidR="009A3743" w:rsidRPr="00F9728F" w:rsidRDefault="009A3743" w:rsidP="009A3743">
            <w:pPr>
              <w:pStyle w:val="Odstavecseseznamem"/>
              <w:jc w:val="both"/>
              <w:rPr>
                <w:b/>
                <w:u w:val="single"/>
              </w:rPr>
            </w:pPr>
            <w:r w:rsidRPr="00F9728F">
              <w:t xml:space="preserve">Návrh finančního plánu ve výši </w:t>
            </w:r>
            <w:r w:rsidRPr="00F9728F">
              <w:rPr>
                <w:b/>
                <w:u w:val="single"/>
              </w:rPr>
              <w:t>1</w:t>
            </w:r>
            <w:r w:rsidR="00407E2B">
              <w:rPr>
                <w:b/>
                <w:u w:val="single"/>
              </w:rPr>
              <w:t>15</w:t>
            </w:r>
            <w:r w:rsidRPr="00F9728F">
              <w:rPr>
                <w:b/>
                <w:u w:val="single"/>
              </w:rPr>
              <w:t> 000,00 Kč.</w:t>
            </w:r>
          </w:p>
          <w:p w:rsidR="009A3743" w:rsidRPr="00F9728F" w:rsidRDefault="009A3743" w:rsidP="009A3743">
            <w:pPr>
              <w:pStyle w:val="Odstavecseseznamem"/>
              <w:spacing w:before="120" w:after="0" w:line="240" w:lineRule="auto"/>
              <w:contextualSpacing w:val="0"/>
              <w:jc w:val="both"/>
            </w:pPr>
            <w:r w:rsidRPr="00F9728F">
              <w:t xml:space="preserve">Pojištění majetku a vozidel střediska. Krytí z vlastních </w:t>
            </w:r>
            <w:r>
              <w:t>zdrojů</w:t>
            </w:r>
            <w:r w:rsidRPr="00F9728F">
              <w:t>.</w:t>
            </w:r>
          </w:p>
          <w:p w:rsidR="009A3743" w:rsidRPr="00B7245C" w:rsidRDefault="009A3743" w:rsidP="009A3743">
            <w:pPr>
              <w:pStyle w:val="Odstavecseseznamem"/>
              <w:spacing w:after="0" w:line="240" w:lineRule="auto"/>
              <w:contextualSpacing w:val="0"/>
              <w:jc w:val="both"/>
              <w:rPr>
                <w:color w:val="FF0000"/>
              </w:rPr>
            </w:pPr>
          </w:p>
          <w:p w:rsidR="005200F5" w:rsidRDefault="009A3743" w:rsidP="005200F5">
            <w:pPr>
              <w:pStyle w:val="Odstavecseseznamem"/>
              <w:spacing w:after="0" w:line="240" w:lineRule="auto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 w:rsidRPr="00264AE9">
              <w:rPr>
                <w:b/>
                <w:sz w:val="24"/>
                <w:szCs w:val="24"/>
                <w:u w:val="single"/>
              </w:rPr>
              <w:t>Položka 551 – odpisy UZ 079</w:t>
            </w:r>
          </w:p>
          <w:p w:rsidR="005200F5" w:rsidRPr="005200F5" w:rsidRDefault="009A3743" w:rsidP="005200F5">
            <w:pPr>
              <w:pStyle w:val="Odstavecseseznamem"/>
              <w:spacing w:after="0" w:line="240" w:lineRule="auto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 w:rsidRPr="00264AE9">
              <w:t xml:space="preserve">Návrh finančního plánu ve výši </w:t>
            </w:r>
            <w:r w:rsidR="005200F5" w:rsidRPr="005200F5">
              <w:rPr>
                <w:b/>
                <w:u w:val="single"/>
              </w:rPr>
              <w:t>49</w:t>
            </w:r>
            <w:r w:rsidR="00626ECF" w:rsidRPr="005200F5">
              <w:rPr>
                <w:b/>
                <w:u w:val="single"/>
              </w:rPr>
              <w:t>9</w:t>
            </w:r>
            <w:r w:rsidRPr="005200F5">
              <w:rPr>
                <w:b/>
                <w:u w:val="single"/>
              </w:rPr>
              <w:t xml:space="preserve"> 000,00 Kč</w:t>
            </w:r>
            <w:r w:rsidRPr="00264AE9">
              <w:t xml:space="preserve"> dle odpisového plánu (viz Část 3 - plán odpisů)</w:t>
            </w:r>
            <w:r w:rsidR="005200F5">
              <w:t>.</w:t>
            </w:r>
          </w:p>
          <w:p w:rsidR="005200F5" w:rsidRDefault="005200F5" w:rsidP="005200F5">
            <w:pPr>
              <w:pStyle w:val="Odstavecseseznamem"/>
              <w:spacing w:after="0" w:line="240" w:lineRule="auto"/>
              <w:contextualSpacing w:val="0"/>
              <w:jc w:val="both"/>
            </w:pPr>
          </w:p>
          <w:p w:rsidR="005200F5" w:rsidRDefault="005200F5" w:rsidP="005200F5">
            <w:pPr>
              <w:pStyle w:val="Odstavecseseznamem"/>
              <w:spacing w:after="0" w:line="240" w:lineRule="auto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Položka 551 – odpisy UZ 13502</w:t>
            </w:r>
          </w:p>
          <w:p w:rsidR="005200F5" w:rsidRPr="00264AE9" w:rsidRDefault="005200F5" w:rsidP="005200F5">
            <w:pPr>
              <w:pStyle w:val="Odstavecseseznamem"/>
              <w:spacing w:after="0" w:line="240" w:lineRule="auto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>
              <w:t>O</w:t>
            </w:r>
            <w:r w:rsidRPr="00E703BA">
              <w:t>dpisů elektromobilu</w:t>
            </w:r>
            <w:r>
              <w:t xml:space="preserve"> (viz komentář ve výnosech bod 4)</w:t>
            </w:r>
          </w:p>
          <w:p w:rsidR="009A3743" w:rsidRPr="00264AE9" w:rsidRDefault="009A3743" w:rsidP="009A3743">
            <w:pPr>
              <w:pStyle w:val="Odstavecseseznamem"/>
              <w:spacing w:before="120" w:after="0" w:line="240" w:lineRule="auto"/>
              <w:contextualSpacing w:val="0"/>
              <w:jc w:val="both"/>
            </w:pPr>
          </w:p>
          <w:p w:rsidR="009A3743" w:rsidRPr="005200F5" w:rsidRDefault="005200F5" w:rsidP="005200F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200F5">
              <w:rPr>
                <w:b/>
                <w:sz w:val="24"/>
                <w:szCs w:val="24"/>
              </w:rPr>
              <w:t xml:space="preserve">             </w:t>
            </w:r>
            <w:r w:rsidR="009A3743" w:rsidRPr="005200F5">
              <w:rPr>
                <w:b/>
                <w:sz w:val="24"/>
                <w:szCs w:val="24"/>
                <w:u w:val="single"/>
              </w:rPr>
              <w:t>Položka 558- náklady DDHM</w:t>
            </w:r>
          </w:p>
          <w:p w:rsidR="009A3743" w:rsidRDefault="009A3743" w:rsidP="009A3743">
            <w:pPr>
              <w:pStyle w:val="Odstavecseseznamem"/>
              <w:spacing w:after="0" w:line="240" w:lineRule="auto"/>
              <w:contextualSpacing w:val="0"/>
              <w:jc w:val="both"/>
            </w:pPr>
            <w:r w:rsidRPr="00151FA8">
              <w:t xml:space="preserve">Návrh finančního plánu ve výši </w:t>
            </w:r>
            <w:r w:rsidR="005200F5" w:rsidRPr="005200F5">
              <w:rPr>
                <w:b/>
                <w:u w:val="single"/>
              </w:rPr>
              <w:t>50</w:t>
            </w:r>
            <w:r w:rsidRPr="005200F5">
              <w:rPr>
                <w:b/>
                <w:u w:val="single"/>
              </w:rPr>
              <w:t xml:space="preserve"> 0</w:t>
            </w:r>
            <w:r w:rsidRPr="00151FA8">
              <w:rPr>
                <w:b/>
                <w:u w:val="single"/>
              </w:rPr>
              <w:t xml:space="preserve">00,00 Kč. </w:t>
            </w:r>
            <w:r w:rsidRPr="00151FA8">
              <w:t xml:space="preserve">Krytí z vlastních </w:t>
            </w:r>
            <w:r>
              <w:t>zdrojů</w:t>
            </w:r>
            <w:r w:rsidRPr="00151FA8">
              <w:t>.</w:t>
            </w:r>
          </w:p>
          <w:p w:rsidR="009A3743" w:rsidRPr="00151FA8" w:rsidRDefault="009A3743" w:rsidP="009A3743">
            <w:pPr>
              <w:pStyle w:val="Odstavecseseznamem"/>
              <w:spacing w:after="0" w:line="240" w:lineRule="auto"/>
              <w:contextualSpacing w:val="0"/>
              <w:jc w:val="both"/>
            </w:pPr>
          </w:p>
          <w:p w:rsidR="00BB2633" w:rsidRPr="00BB2633" w:rsidRDefault="00BB2633" w:rsidP="009A3743">
            <w:pPr>
              <w:pStyle w:val="Odstavecseseznamem"/>
              <w:spacing w:after="0" w:line="240" w:lineRule="auto"/>
              <w:contextualSpacing w:val="0"/>
              <w:jc w:val="both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30745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 xml:space="preserve"> </w:t>
            </w: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37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6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BB2633" w:rsidRPr="00BB2633" w:rsidTr="00BB2633">
        <w:trPr>
          <w:trHeight w:val="68"/>
        </w:trPr>
        <w:tc>
          <w:tcPr>
            <w:tcW w:w="9072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3854" w:type="dxa"/>
            <w:shd w:val="clear" w:color="000000" w:fill="FFFFFF"/>
            <w:noWrap/>
            <w:vAlign w:val="bottom"/>
          </w:tcPr>
          <w:p w:rsidR="00BB2633" w:rsidRPr="00BB2633" w:rsidRDefault="00BB2633" w:rsidP="00BB263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:rsidR="00E24AE1" w:rsidRPr="00D4618C" w:rsidRDefault="00D4618C" w:rsidP="005200F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200F5">
        <w:rPr>
          <w:b/>
          <w:sz w:val="28"/>
          <w:szCs w:val="28"/>
        </w:rPr>
        <w:t xml:space="preserve"> </w:t>
      </w:r>
      <w:proofErr w:type="gramStart"/>
      <w:r w:rsidR="00B873D3" w:rsidRPr="00151FA8">
        <w:rPr>
          <w:b/>
          <w:sz w:val="28"/>
          <w:szCs w:val="28"/>
        </w:rPr>
        <w:t>V</w:t>
      </w:r>
      <w:r w:rsidR="00D97375" w:rsidRPr="00151FA8">
        <w:rPr>
          <w:b/>
          <w:sz w:val="28"/>
          <w:szCs w:val="28"/>
        </w:rPr>
        <w:t xml:space="preserve">ýnosy </w:t>
      </w:r>
      <w:r w:rsidR="00B67913" w:rsidRPr="00151FA8">
        <w:rPr>
          <w:b/>
          <w:sz w:val="28"/>
          <w:szCs w:val="28"/>
        </w:rPr>
        <w:t xml:space="preserve">- </w:t>
      </w:r>
      <w:r w:rsidR="00B873D3" w:rsidRPr="00151FA8">
        <w:rPr>
          <w:b/>
          <w:sz w:val="28"/>
          <w:szCs w:val="28"/>
        </w:rPr>
        <w:t>doplňková</w:t>
      </w:r>
      <w:proofErr w:type="gramEnd"/>
      <w:r w:rsidR="00D97375" w:rsidRPr="00151FA8">
        <w:rPr>
          <w:b/>
          <w:sz w:val="28"/>
          <w:szCs w:val="28"/>
        </w:rPr>
        <w:t xml:space="preserve"> činnost</w:t>
      </w:r>
      <w:r w:rsidR="009919D6" w:rsidRPr="00151FA8">
        <w:rPr>
          <w:b/>
          <w:sz w:val="28"/>
          <w:szCs w:val="28"/>
        </w:rPr>
        <w:t>:</w:t>
      </w:r>
    </w:p>
    <w:p w:rsidR="00E24AE1" w:rsidRPr="00151FA8" w:rsidRDefault="00941074" w:rsidP="00B464D8">
      <w:pPr>
        <w:pStyle w:val="Odstavecseseznamem"/>
        <w:jc w:val="both"/>
      </w:pPr>
      <w:r w:rsidRPr="00151FA8">
        <w:t>Výnosy d</w:t>
      </w:r>
      <w:r w:rsidR="00141736" w:rsidRPr="00151FA8">
        <w:t>oplňkov</w:t>
      </w:r>
      <w:r w:rsidR="00A845DC" w:rsidRPr="00151FA8">
        <w:t>é</w:t>
      </w:r>
      <w:r w:rsidR="00141736" w:rsidRPr="00151FA8">
        <w:t xml:space="preserve"> činnosti </w:t>
      </w:r>
      <w:r w:rsidR="00A845DC" w:rsidRPr="00151FA8">
        <w:t>jsou tvořeny</w:t>
      </w:r>
      <w:r w:rsidR="00770A97" w:rsidRPr="00151FA8">
        <w:t xml:space="preserve"> z</w:t>
      </w:r>
      <w:r w:rsidR="00B873D3" w:rsidRPr="00151FA8">
        <w:t>:</w:t>
      </w:r>
    </w:p>
    <w:p w:rsidR="00897D29" w:rsidRPr="00151FA8" w:rsidRDefault="00B873D3" w:rsidP="00B873D3">
      <w:pPr>
        <w:pStyle w:val="Odstavecseseznamem"/>
        <w:numPr>
          <w:ilvl w:val="0"/>
          <w:numId w:val="4"/>
        </w:numPr>
        <w:jc w:val="both"/>
      </w:pPr>
      <w:r w:rsidRPr="00151FA8">
        <w:t xml:space="preserve">Výnosů </w:t>
      </w:r>
      <w:r w:rsidR="00145ED1" w:rsidRPr="00151FA8">
        <w:t>denní stacionář</w:t>
      </w:r>
      <w:r w:rsidR="00897D29" w:rsidRPr="00151FA8">
        <w:t xml:space="preserve"> ve výši </w:t>
      </w:r>
      <w:r w:rsidR="00145ED1" w:rsidRPr="00151FA8">
        <w:tab/>
      </w:r>
      <w:r w:rsidR="00145ED1" w:rsidRPr="00151FA8">
        <w:tab/>
      </w:r>
      <w:r w:rsidR="00407E2B">
        <w:t>1</w:t>
      </w:r>
      <w:r w:rsidR="005200F5">
        <w:t>2</w:t>
      </w:r>
      <w:r w:rsidR="00407E2B">
        <w:t>0</w:t>
      </w:r>
      <w:r w:rsidR="00607907" w:rsidRPr="00151FA8">
        <w:t> 000,00 Kč</w:t>
      </w:r>
    </w:p>
    <w:p w:rsidR="003768F3" w:rsidRPr="00151FA8" w:rsidRDefault="00897D29" w:rsidP="00B873D3">
      <w:pPr>
        <w:pStyle w:val="Odstavecseseznamem"/>
        <w:numPr>
          <w:ilvl w:val="0"/>
          <w:numId w:val="4"/>
        </w:numPr>
        <w:jc w:val="both"/>
      </w:pPr>
      <w:r w:rsidRPr="00151FA8">
        <w:t xml:space="preserve">Výnosů </w:t>
      </w:r>
      <w:r w:rsidR="00145ED1" w:rsidRPr="00151FA8">
        <w:t>PS terén</w:t>
      </w:r>
      <w:r w:rsidR="003768F3" w:rsidRPr="00151FA8">
        <w:t xml:space="preserve"> ve výši</w:t>
      </w:r>
      <w:r w:rsidR="00607907" w:rsidRPr="00151FA8">
        <w:tab/>
      </w:r>
      <w:r w:rsidR="00607907" w:rsidRPr="00151FA8">
        <w:tab/>
      </w:r>
      <w:proofErr w:type="gramStart"/>
      <w:r w:rsidR="00607907" w:rsidRPr="00151FA8">
        <w:tab/>
      </w:r>
      <w:r w:rsidR="005200F5">
        <w:t xml:space="preserve">  8</w:t>
      </w:r>
      <w:r w:rsidR="00407E2B">
        <w:t>0</w:t>
      </w:r>
      <w:proofErr w:type="gramEnd"/>
      <w:r w:rsidR="009A3743">
        <w:t xml:space="preserve"> </w:t>
      </w:r>
      <w:r w:rsidR="00607907" w:rsidRPr="00151FA8">
        <w:t>000,00 Kč</w:t>
      </w:r>
    </w:p>
    <w:p w:rsidR="009B12BA" w:rsidRPr="00FE7713" w:rsidRDefault="00FA4997" w:rsidP="00B873D3">
      <w:pPr>
        <w:pStyle w:val="Odstavecseseznamem"/>
        <w:numPr>
          <w:ilvl w:val="0"/>
          <w:numId w:val="4"/>
        </w:numPr>
        <w:jc w:val="both"/>
      </w:pPr>
      <w:r w:rsidRPr="00FE7713">
        <w:t xml:space="preserve">Výnosů jídelny ve výši </w:t>
      </w:r>
      <w:r w:rsidRPr="00FE7713">
        <w:tab/>
      </w:r>
      <w:r w:rsidRPr="00FE7713">
        <w:tab/>
        <w:t xml:space="preserve">           </w:t>
      </w:r>
      <w:r w:rsidR="005200F5">
        <w:t>1</w:t>
      </w:r>
      <w:r w:rsidR="00407E2B">
        <w:t xml:space="preserve"> </w:t>
      </w:r>
      <w:r w:rsidR="005200F5">
        <w:t>7</w:t>
      </w:r>
      <w:r w:rsidRPr="00FE7713">
        <w:t>00</w:t>
      </w:r>
      <w:r w:rsidR="009B12BA" w:rsidRPr="00FE7713">
        <w:t> 000,00 Kč</w:t>
      </w:r>
    </w:p>
    <w:p w:rsidR="00B873D3" w:rsidRPr="00FE7713" w:rsidRDefault="009B12BA" w:rsidP="00B873D3">
      <w:pPr>
        <w:pStyle w:val="Odstavecseseznamem"/>
        <w:numPr>
          <w:ilvl w:val="0"/>
          <w:numId w:val="4"/>
        </w:numPr>
        <w:jc w:val="both"/>
      </w:pPr>
      <w:r w:rsidRPr="00FE7713">
        <w:t>V</w:t>
      </w:r>
      <w:r w:rsidR="003768F3" w:rsidRPr="00FE7713">
        <w:t>ýnos</w:t>
      </w:r>
      <w:r w:rsidR="00B317D1" w:rsidRPr="00FE7713">
        <w:t>ů</w:t>
      </w:r>
      <w:r w:rsidR="003768F3" w:rsidRPr="00FE7713">
        <w:t xml:space="preserve"> </w:t>
      </w:r>
      <w:r w:rsidRPr="00FE7713">
        <w:t xml:space="preserve">za nájemné </w:t>
      </w:r>
      <w:r w:rsidR="003768F3" w:rsidRPr="00FE7713">
        <w:t xml:space="preserve">ve výši </w:t>
      </w:r>
      <w:r w:rsidR="00B873D3" w:rsidRPr="00FE7713">
        <w:t xml:space="preserve"> </w:t>
      </w:r>
      <w:r w:rsidR="00897D29" w:rsidRPr="00FE7713">
        <w:t xml:space="preserve"> </w:t>
      </w:r>
      <w:r w:rsidR="00FA4997" w:rsidRPr="00FE7713">
        <w:tab/>
        <w:t xml:space="preserve">           </w:t>
      </w:r>
      <w:r w:rsidR="00407E2B">
        <w:t xml:space="preserve">  </w:t>
      </w:r>
      <w:r w:rsidR="00FA4997" w:rsidRPr="00FE7713">
        <w:t xml:space="preserve"> </w:t>
      </w:r>
      <w:r w:rsidR="00407E2B">
        <w:t>3</w:t>
      </w:r>
      <w:r w:rsidR="005200F5">
        <w:t>4</w:t>
      </w:r>
      <w:r w:rsidR="009A3743" w:rsidRPr="00FE7713">
        <w:t>0</w:t>
      </w:r>
      <w:r w:rsidR="00607907" w:rsidRPr="00FE7713">
        <w:t> 000,00 Kč</w:t>
      </w:r>
    </w:p>
    <w:p w:rsidR="00607907" w:rsidRPr="00FE7713" w:rsidRDefault="009919D6" w:rsidP="007D4587">
      <w:pPr>
        <w:pStyle w:val="Odstavecseseznamem"/>
        <w:spacing w:after="0" w:line="240" w:lineRule="auto"/>
        <w:ind w:left="1080"/>
        <w:jc w:val="both"/>
        <w:rPr>
          <w:b/>
        </w:rPr>
      </w:pPr>
      <w:r w:rsidRPr="00FE7713">
        <w:t xml:space="preserve">Plánované výnosy </w:t>
      </w:r>
      <w:r w:rsidR="00941074" w:rsidRPr="00FE7713">
        <w:t>celkem</w:t>
      </w:r>
      <w:r w:rsidR="00A55974" w:rsidRPr="00FE7713">
        <w:t>:</w:t>
      </w:r>
      <w:r w:rsidR="00A55974" w:rsidRPr="00FE7713">
        <w:tab/>
      </w:r>
      <w:r w:rsidR="00FA4997" w:rsidRPr="00FE7713">
        <w:tab/>
        <w:t xml:space="preserve">         </w:t>
      </w:r>
      <w:r w:rsidR="00407E2B">
        <w:t xml:space="preserve">  </w:t>
      </w:r>
      <w:r w:rsidR="00407E2B">
        <w:rPr>
          <w:b/>
          <w:u w:val="single"/>
        </w:rPr>
        <w:t xml:space="preserve">2 </w:t>
      </w:r>
      <w:r w:rsidR="00D4618C">
        <w:rPr>
          <w:b/>
          <w:u w:val="single"/>
        </w:rPr>
        <w:t>24</w:t>
      </w:r>
      <w:r w:rsidR="00407E2B">
        <w:rPr>
          <w:b/>
          <w:u w:val="single"/>
        </w:rPr>
        <w:t>0</w:t>
      </w:r>
      <w:r w:rsidR="00FA4997" w:rsidRPr="00FE7713">
        <w:rPr>
          <w:b/>
          <w:u w:val="single"/>
        </w:rPr>
        <w:t> 000,00</w:t>
      </w:r>
      <w:r w:rsidRPr="00FE7713">
        <w:rPr>
          <w:b/>
          <w:u w:val="single"/>
        </w:rPr>
        <w:t xml:space="preserve"> Kč</w:t>
      </w:r>
    </w:p>
    <w:p w:rsidR="009919D6" w:rsidRPr="00FE7713" w:rsidRDefault="009919D6" w:rsidP="007D4587">
      <w:pPr>
        <w:pStyle w:val="Odstavecseseznamem"/>
        <w:spacing w:after="0" w:line="240" w:lineRule="auto"/>
        <w:jc w:val="both"/>
        <w:rPr>
          <w:b/>
          <w:sz w:val="28"/>
          <w:szCs w:val="28"/>
        </w:rPr>
      </w:pPr>
    </w:p>
    <w:p w:rsidR="009919D6" w:rsidRPr="00151FA8" w:rsidRDefault="009919D6" w:rsidP="00485AE7">
      <w:pPr>
        <w:pStyle w:val="Odstavecseseznamem"/>
        <w:spacing w:after="0"/>
        <w:jc w:val="both"/>
        <w:rPr>
          <w:b/>
          <w:sz w:val="28"/>
          <w:szCs w:val="28"/>
        </w:rPr>
      </w:pPr>
      <w:r w:rsidRPr="00151FA8">
        <w:rPr>
          <w:b/>
          <w:sz w:val="28"/>
          <w:szCs w:val="28"/>
        </w:rPr>
        <w:t>Náklady</w:t>
      </w:r>
      <w:r w:rsidR="00B317D1" w:rsidRPr="00151FA8">
        <w:rPr>
          <w:b/>
          <w:sz w:val="28"/>
          <w:szCs w:val="28"/>
        </w:rPr>
        <w:t xml:space="preserve"> </w:t>
      </w:r>
      <w:proofErr w:type="gramStart"/>
      <w:r w:rsidR="00B317D1" w:rsidRPr="00151FA8">
        <w:rPr>
          <w:b/>
          <w:sz w:val="28"/>
          <w:szCs w:val="28"/>
        </w:rPr>
        <w:t xml:space="preserve">- </w:t>
      </w:r>
      <w:r w:rsidRPr="00151FA8">
        <w:rPr>
          <w:b/>
          <w:sz w:val="28"/>
          <w:szCs w:val="28"/>
        </w:rPr>
        <w:t xml:space="preserve"> doplňková</w:t>
      </w:r>
      <w:proofErr w:type="gramEnd"/>
      <w:r w:rsidRPr="00151FA8">
        <w:rPr>
          <w:b/>
          <w:sz w:val="28"/>
          <w:szCs w:val="28"/>
        </w:rPr>
        <w:t xml:space="preserve"> činnost:</w:t>
      </w:r>
    </w:p>
    <w:p w:rsidR="00B5691D" w:rsidRPr="00151FA8" w:rsidRDefault="002B2E92" w:rsidP="007D4587">
      <w:pPr>
        <w:pStyle w:val="Odstavecseseznamem"/>
        <w:spacing w:after="0" w:line="240" w:lineRule="auto"/>
        <w:jc w:val="both"/>
      </w:pPr>
      <w:r w:rsidRPr="00151FA8">
        <w:t xml:space="preserve">Plánované náklady v celkové výši </w:t>
      </w:r>
      <w:r w:rsidR="00407E2B">
        <w:rPr>
          <w:b/>
          <w:u w:val="single"/>
        </w:rPr>
        <w:t>2</w:t>
      </w:r>
      <w:r w:rsidR="00F412DD">
        <w:rPr>
          <w:b/>
          <w:u w:val="single"/>
        </w:rPr>
        <w:t> </w:t>
      </w:r>
      <w:r w:rsidR="00D4618C">
        <w:rPr>
          <w:b/>
          <w:u w:val="single"/>
        </w:rPr>
        <w:t>076</w:t>
      </w:r>
      <w:r w:rsidR="00F412DD">
        <w:rPr>
          <w:b/>
          <w:u w:val="single"/>
        </w:rPr>
        <w:t xml:space="preserve"> </w:t>
      </w:r>
      <w:r w:rsidR="00407E2B">
        <w:rPr>
          <w:b/>
          <w:u w:val="single"/>
        </w:rPr>
        <w:t>000</w:t>
      </w:r>
      <w:r w:rsidRPr="00151FA8">
        <w:rPr>
          <w:b/>
          <w:u w:val="single"/>
        </w:rPr>
        <w:t>,00 Kč</w:t>
      </w:r>
      <w:r w:rsidR="00AF2EF0">
        <w:rPr>
          <w:b/>
        </w:rPr>
        <w:t>.</w:t>
      </w:r>
    </w:p>
    <w:p w:rsidR="004C095F" w:rsidRPr="00151FA8" w:rsidRDefault="004C095F" w:rsidP="007D4587">
      <w:pPr>
        <w:pStyle w:val="Odstavecseseznamem"/>
        <w:spacing w:after="0" w:line="240" w:lineRule="auto"/>
        <w:jc w:val="both"/>
      </w:pPr>
    </w:p>
    <w:p w:rsidR="002B2E92" w:rsidRPr="00151FA8" w:rsidRDefault="00770A97" w:rsidP="007D4587">
      <w:pPr>
        <w:pStyle w:val="Odstavecseseznamem"/>
        <w:spacing w:after="0" w:line="240" w:lineRule="auto"/>
        <w:jc w:val="both"/>
      </w:pPr>
      <w:r w:rsidRPr="00151FA8">
        <w:t xml:space="preserve">Předpokládaný zisk v DČ ve výši </w:t>
      </w:r>
      <w:r w:rsidR="00D4618C">
        <w:rPr>
          <w:b/>
          <w:u w:val="single"/>
        </w:rPr>
        <w:t>164</w:t>
      </w:r>
      <w:r w:rsidR="00407E2B">
        <w:rPr>
          <w:b/>
          <w:u w:val="single"/>
        </w:rPr>
        <w:t xml:space="preserve"> 0</w:t>
      </w:r>
      <w:r w:rsidRPr="00151FA8">
        <w:rPr>
          <w:b/>
          <w:u w:val="single"/>
        </w:rPr>
        <w:t>00,00 Kč</w:t>
      </w:r>
      <w:r w:rsidRPr="00151FA8">
        <w:t>.</w:t>
      </w:r>
    </w:p>
    <w:p w:rsidR="00626ECF" w:rsidRDefault="00626ECF" w:rsidP="007D4587">
      <w:pPr>
        <w:spacing w:after="0" w:line="240" w:lineRule="auto"/>
        <w:ind w:left="705"/>
        <w:jc w:val="both"/>
        <w:rPr>
          <w:b/>
          <w:sz w:val="24"/>
          <w:szCs w:val="24"/>
          <w:u w:val="single"/>
        </w:rPr>
      </w:pPr>
    </w:p>
    <w:p w:rsidR="00AF2EF0" w:rsidRDefault="00407E2B" w:rsidP="007D4587">
      <w:pPr>
        <w:spacing w:after="0" w:line="240" w:lineRule="auto"/>
        <w:ind w:left="705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Komentář k doplňkové činnosti</w:t>
      </w:r>
    </w:p>
    <w:p w:rsidR="00D85130" w:rsidRDefault="00726689" w:rsidP="007D4587">
      <w:pPr>
        <w:spacing w:after="0"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V doplňkové činnosti v části výnosů tvoří nejvyšší částku</w:t>
      </w:r>
      <w:r w:rsidR="00D85130" w:rsidRPr="00626ECF">
        <w:rPr>
          <w:sz w:val="24"/>
          <w:szCs w:val="24"/>
        </w:rPr>
        <w:t xml:space="preserve"> výnosy za odebrané obědy příchozích </w:t>
      </w:r>
      <w:proofErr w:type="gramStart"/>
      <w:r w:rsidR="00D85130" w:rsidRPr="00626ECF">
        <w:rPr>
          <w:sz w:val="24"/>
          <w:szCs w:val="24"/>
        </w:rPr>
        <w:t>s</w:t>
      </w:r>
      <w:proofErr w:type="gramEnd"/>
      <w:r w:rsidR="00D85130" w:rsidRPr="00626ECF">
        <w:rPr>
          <w:sz w:val="24"/>
          <w:szCs w:val="24"/>
        </w:rPr>
        <w:t> trávníků do jídelny</w:t>
      </w:r>
      <w:r>
        <w:rPr>
          <w:sz w:val="24"/>
          <w:szCs w:val="24"/>
        </w:rPr>
        <w:t xml:space="preserve"> v odhadované výši 1 700 000,00 Kč a výnosy z nájmů ve výši 340 000,00 Kč. Příchozí strávníci do jídelny n</w:t>
      </w:r>
      <w:r w:rsidR="00D85130" w:rsidRPr="00626ECF">
        <w:rPr>
          <w:sz w:val="24"/>
          <w:szCs w:val="24"/>
        </w:rPr>
        <w:t>emají uzavřenou smlouvu o poskytování pečovatels</w:t>
      </w:r>
      <w:r>
        <w:rPr>
          <w:sz w:val="24"/>
          <w:szCs w:val="24"/>
        </w:rPr>
        <w:t xml:space="preserve">ké služby. V doplňkové činnosti jsou účtovány i výnosy za odebrané obědy </w:t>
      </w:r>
      <w:r w:rsidR="00D85130" w:rsidRPr="00626ECF">
        <w:rPr>
          <w:sz w:val="24"/>
          <w:szCs w:val="24"/>
        </w:rPr>
        <w:t xml:space="preserve">účastníků </w:t>
      </w:r>
      <w:r w:rsidR="00F412DD" w:rsidRPr="00626ECF">
        <w:rPr>
          <w:sz w:val="24"/>
          <w:szCs w:val="24"/>
        </w:rPr>
        <w:t>prázdninových táborů</w:t>
      </w:r>
      <w:r>
        <w:rPr>
          <w:sz w:val="24"/>
          <w:szCs w:val="24"/>
        </w:rPr>
        <w:t>,</w:t>
      </w:r>
      <w:r w:rsidR="00D85130" w:rsidRPr="00626ECF">
        <w:rPr>
          <w:sz w:val="24"/>
          <w:szCs w:val="24"/>
        </w:rPr>
        <w:t xml:space="preserve"> </w:t>
      </w:r>
      <w:r w:rsidR="00F412DD" w:rsidRPr="00626ECF">
        <w:rPr>
          <w:sz w:val="24"/>
          <w:szCs w:val="24"/>
        </w:rPr>
        <w:t>dětí</w:t>
      </w:r>
      <w:r w:rsidR="00D85130" w:rsidRPr="00626ECF">
        <w:rPr>
          <w:sz w:val="24"/>
          <w:szCs w:val="24"/>
        </w:rPr>
        <w:t xml:space="preserve"> i jejich doprovodu (učitelé, trenéři aj.) </w:t>
      </w:r>
    </w:p>
    <w:p w:rsidR="00D85130" w:rsidRDefault="00D85130" w:rsidP="007D4587">
      <w:pPr>
        <w:spacing w:after="0" w:line="240" w:lineRule="auto"/>
        <w:ind w:left="705"/>
        <w:jc w:val="both"/>
        <w:rPr>
          <w:sz w:val="24"/>
          <w:szCs w:val="24"/>
        </w:rPr>
      </w:pPr>
    </w:p>
    <w:p w:rsidR="009A4F6A" w:rsidRPr="00151FA8" w:rsidRDefault="009A4F6A" w:rsidP="007D4587">
      <w:pPr>
        <w:spacing w:after="0" w:line="240" w:lineRule="auto"/>
        <w:ind w:left="705"/>
        <w:jc w:val="both"/>
        <w:rPr>
          <w:b/>
          <w:sz w:val="24"/>
          <w:szCs w:val="24"/>
          <w:u w:val="single"/>
        </w:rPr>
      </w:pPr>
      <w:r w:rsidRPr="00151FA8">
        <w:rPr>
          <w:b/>
          <w:sz w:val="24"/>
          <w:szCs w:val="24"/>
          <w:u w:val="single"/>
        </w:rPr>
        <w:t>ZÁVĚR:</w:t>
      </w:r>
    </w:p>
    <w:p w:rsidR="00DF6C7F" w:rsidRPr="00151FA8" w:rsidRDefault="009A4F6A" w:rsidP="009A4F6A">
      <w:pPr>
        <w:ind w:left="705"/>
        <w:jc w:val="both"/>
      </w:pPr>
      <w:r w:rsidRPr="00151FA8">
        <w:t>Rozpočet organizace</w:t>
      </w:r>
      <w:r w:rsidR="00793129" w:rsidRPr="00151FA8">
        <w:t xml:space="preserve"> na rok 20</w:t>
      </w:r>
      <w:r w:rsidR="006528AB">
        <w:t>2</w:t>
      </w:r>
      <w:r w:rsidR="00D4618C">
        <w:t>6</w:t>
      </w:r>
      <w:r w:rsidRPr="00151FA8">
        <w:t xml:space="preserve"> je </w:t>
      </w:r>
      <w:r w:rsidR="003E5004" w:rsidRPr="00151FA8">
        <w:t xml:space="preserve">za použití </w:t>
      </w:r>
      <w:r w:rsidR="00726689">
        <w:t>účelové</w:t>
      </w:r>
      <w:r w:rsidRPr="00151FA8">
        <w:t xml:space="preserve"> dotac</w:t>
      </w:r>
      <w:r w:rsidR="00726689">
        <w:t>e</w:t>
      </w:r>
      <w:r w:rsidRPr="00151FA8">
        <w:t>, uveden</w:t>
      </w:r>
      <w:r w:rsidR="00726689">
        <w:t>é</w:t>
      </w:r>
      <w:r w:rsidRPr="00151FA8">
        <w:t xml:space="preserve"> výše, plánov</w:t>
      </w:r>
      <w:r w:rsidR="00F7270F">
        <w:t>a</w:t>
      </w:r>
      <w:r w:rsidRPr="00151FA8">
        <w:t>n</w:t>
      </w:r>
      <w:r w:rsidR="00834B01">
        <w:t>ý</w:t>
      </w:r>
      <w:r w:rsidRPr="00151FA8">
        <w:t xml:space="preserve"> jako vyrovnaný.</w:t>
      </w:r>
    </w:p>
    <w:p w:rsidR="009A4F6A" w:rsidRPr="00151FA8" w:rsidRDefault="009A4F6A" w:rsidP="00B464D8">
      <w:pPr>
        <w:pStyle w:val="Odstavecseseznamem"/>
        <w:jc w:val="both"/>
        <w:rPr>
          <w:i/>
        </w:rPr>
      </w:pPr>
    </w:p>
    <w:p w:rsidR="009A4F6A" w:rsidRDefault="009A4F6A" w:rsidP="00B464D8">
      <w:pPr>
        <w:pStyle w:val="Odstavecseseznamem"/>
        <w:jc w:val="both"/>
        <w:rPr>
          <w:i/>
        </w:rPr>
      </w:pPr>
    </w:p>
    <w:p w:rsidR="00BB0391" w:rsidRPr="00151FA8" w:rsidRDefault="00BB0391" w:rsidP="00B464D8">
      <w:pPr>
        <w:pStyle w:val="Odstavecseseznamem"/>
        <w:jc w:val="both"/>
        <w:rPr>
          <w:i/>
        </w:rPr>
      </w:pPr>
    </w:p>
    <w:p w:rsidR="007B68C3" w:rsidRPr="00151FA8" w:rsidRDefault="00061671" w:rsidP="00B464D8">
      <w:pPr>
        <w:pStyle w:val="Odstavecseseznamem"/>
        <w:jc w:val="both"/>
        <w:rPr>
          <w:i/>
        </w:rPr>
      </w:pPr>
      <w:r w:rsidRPr="00151FA8">
        <w:rPr>
          <w:i/>
        </w:rPr>
        <w:t xml:space="preserve">V Praze dne </w:t>
      </w:r>
      <w:r w:rsidR="00D4618C">
        <w:rPr>
          <w:i/>
        </w:rPr>
        <w:t>7</w:t>
      </w:r>
      <w:r w:rsidR="00B521F4">
        <w:rPr>
          <w:i/>
        </w:rPr>
        <w:t xml:space="preserve">. 10. </w:t>
      </w:r>
      <w:r w:rsidR="00D4618C">
        <w:rPr>
          <w:i/>
        </w:rPr>
        <w:t>2025</w:t>
      </w:r>
    </w:p>
    <w:p w:rsidR="000514D1" w:rsidRDefault="00061671" w:rsidP="00B464D8">
      <w:pPr>
        <w:pStyle w:val="Odstavecseseznamem"/>
        <w:jc w:val="both"/>
        <w:rPr>
          <w:i/>
        </w:rPr>
      </w:pPr>
      <w:r w:rsidRPr="00151FA8">
        <w:rPr>
          <w:i/>
        </w:rPr>
        <w:t>Zpracoval:</w:t>
      </w:r>
      <w:r w:rsidR="000514D1" w:rsidRPr="00151FA8">
        <w:rPr>
          <w:i/>
        </w:rPr>
        <w:t xml:space="preserve"> ekonomický úsek SSSP13</w:t>
      </w: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Default="00746AC6" w:rsidP="00B464D8">
      <w:pPr>
        <w:pStyle w:val="Odstavecseseznamem"/>
        <w:jc w:val="both"/>
        <w:rPr>
          <w:i/>
        </w:rPr>
      </w:pPr>
    </w:p>
    <w:p w:rsidR="00746AC6" w:rsidRPr="00151FA8" w:rsidRDefault="00746AC6" w:rsidP="00B464D8">
      <w:pPr>
        <w:pStyle w:val="Odstavecseseznamem"/>
        <w:jc w:val="both"/>
        <w:rPr>
          <w:i/>
        </w:rPr>
      </w:pPr>
    </w:p>
    <w:sectPr w:rsidR="00746AC6" w:rsidRPr="00151FA8" w:rsidSect="00734991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03" w:rsidRDefault="00526A03" w:rsidP="00530DCF">
      <w:pPr>
        <w:spacing w:after="0" w:line="240" w:lineRule="auto"/>
      </w:pPr>
      <w:r>
        <w:separator/>
      </w:r>
    </w:p>
  </w:endnote>
  <w:endnote w:type="continuationSeparator" w:id="0">
    <w:p w:rsidR="00526A03" w:rsidRDefault="00526A03" w:rsidP="0053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766540"/>
      <w:docPartObj>
        <w:docPartGallery w:val="Page Numbers (Bottom of Page)"/>
        <w:docPartUnique/>
      </w:docPartObj>
    </w:sdtPr>
    <w:sdtContent>
      <w:p w:rsidR="00734991" w:rsidRDefault="007349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062D" w:rsidRDefault="005F0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03" w:rsidRDefault="00526A03" w:rsidP="00530DCF">
      <w:pPr>
        <w:spacing w:after="0" w:line="240" w:lineRule="auto"/>
      </w:pPr>
      <w:r>
        <w:separator/>
      </w:r>
    </w:p>
  </w:footnote>
  <w:footnote w:type="continuationSeparator" w:id="0">
    <w:p w:rsidR="00526A03" w:rsidRDefault="00526A03" w:rsidP="0053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A5" w:rsidRDefault="00AB50A5" w:rsidP="00530DCF">
    <w:pPr>
      <w:pStyle w:val="Zhlav"/>
      <w:jc w:val="right"/>
      <w:rPr>
        <w:i/>
        <w:u w:val="single"/>
      </w:rPr>
    </w:pPr>
  </w:p>
  <w:p w:rsidR="00AB50A5" w:rsidRDefault="00AB5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C9"/>
    <w:multiLevelType w:val="hybridMultilevel"/>
    <w:tmpl w:val="4ECEBC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4B6C29"/>
    <w:multiLevelType w:val="hybridMultilevel"/>
    <w:tmpl w:val="7DE4EF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155693"/>
    <w:multiLevelType w:val="hybridMultilevel"/>
    <w:tmpl w:val="8BC0C584"/>
    <w:lvl w:ilvl="0" w:tplc="1542D85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E48E2"/>
    <w:multiLevelType w:val="hybridMultilevel"/>
    <w:tmpl w:val="A8BA9216"/>
    <w:lvl w:ilvl="0" w:tplc="BAAE33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5C0EEA"/>
    <w:multiLevelType w:val="hybridMultilevel"/>
    <w:tmpl w:val="6CE4D65E"/>
    <w:lvl w:ilvl="0" w:tplc="F35E0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B673EB"/>
    <w:multiLevelType w:val="hybridMultilevel"/>
    <w:tmpl w:val="812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B17A26"/>
    <w:multiLevelType w:val="hybridMultilevel"/>
    <w:tmpl w:val="F8128A26"/>
    <w:lvl w:ilvl="0" w:tplc="1276B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CF"/>
    <w:rsid w:val="00000FDC"/>
    <w:rsid w:val="0000217D"/>
    <w:rsid w:val="00003C34"/>
    <w:rsid w:val="000041AD"/>
    <w:rsid w:val="00014ACE"/>
    <w:rsid w:val="00015F8E"/>
    <w:rsid w:val="00020A8C"/>
    <w:rsid w:val="00034336"/>
    <w:rsid w:val="00034478"/>
    <w:rsid w:val="00036E12"/>
    <w:rsid w:val="0004005C"/>
    <w:rsid w:val="0004481E"/>
    <w:rsid w:val="0004579B"/>
    <w:rsid w:val="00045A88"/>
    <w:rsid w:val="000514D1"/>
    <w:rsid w:val="000515E7"/>
    <w:rsid w:val="00061671"/>
    <w:rsid w:val="00063B55"/>
    <w:rsid w:val="0006466B"/>
    <w:rsid w:val="00064C5B"/>
    <w:rsid w:val="000658A9"/>
    <w:rsid w:val="00070346"/>
    <w:rsid w:val="000735F1"/>
    <w:rsid w:val="00073B44"/>
    <w:rsid w:val="00074DCB"/>
    <w:rsid w:val="00076E45"/>
    <w:rsid w:val="000778A6"/>
    <w:rsid w:val="00080CE1"/>
    <w:rsid w:val="00081D7F"/>
    <w:rsid w:val="00085D67"/>
    <w:rsid w:val="00087380"/>
    <w:rsid w:val="00091172"/>
    <w:rsid w:val="00091BE4"/>
    <w:rsid w:val="000A4424"/>
    <w:rsid w:val="000A4DB9"/>
    <w:rsid w:val="000A5B59"/>
    <w:rsid w:val="000B0EAC"/>
    <w:rsid w:val="000C7387"/>
    <w:rsid w:val="000D0AC6"/>
    <w:rsid w:val="000D0B97"/>
    <w:rsid w:val="000D0EAC"/>
    <w:rsid w:val="000D0F08"/>
    <w:rsid w:val="000D26B5"/>
    <w:rsid w:val="000D32C4"/>
    <w:rsid w:val="000D612E"/>
    <w:rsid w:val="000F152E"/>
    <w:rsid w:val="000F2559"/>
    <w:rsid w:val="000F3DC6"/>
    <w:rsid w:val="000F484F"/>
    <w:rsid w:val="00107227"/>
    <w:rsid w:val="00110A3C"/>
    <w:rsid w:val="001141BE"/>
    <w:rsid w:val="00117D33"/>
    <w:rsid w:val="00122614"/>
    <w:rsid w:val="00123101"/>
    <w:rsid w:val="00130401"/>
    <w:rsid w:val="001344F6"/>
    <w:rsid w:val="00141736"/>
    <w:rsid w:val="0014353F"/>
    <w:rsid w:val="00145ED1"/>
    <w:rsid w:val="00146C71"/>
    <w:rsid w:val="00151F8D"/>
    <w:rsid w:val="00151FA8"/>
    <w:rsid w:val="0015417E"/>
    <w:rsid w:val="001544CC"/>
    <w:rsid w:val="00164E17"/>
    <w:rsid w:val="001656B9"/>
    <w:rsid w:val="00183B6D"/>
    <w:rsid w:val="00190DE3"/>
    <w:rsid w:val="001958DB"/>
    <w:rsid w:val="00197917"/>
    <w:rsid w:val="001A3757"/>
    <w:rsid w:val="001A6DC2"/>
    <w:rsid w:val="001A79C9"/>
    <w:rsid w:val="001B6A35"/>
    <w:rsid w:val="001C661C"/>
    <w:rsid w:val="001C76D5"/>
    <w:rsid w:val="001D08E0"/>
    <w:rsid w:val="001D1634"/>
    <w:rsid w:val="001D1EA1"/>
    <w:rsid w:val="001D4D86"/>
    <w:rsid w:val="001E2DC7"/>
    <w:rsid w:val="001F1532"/>
    <w:rsid w:val="001F5302"/>
    <w:rsid w:val="002015B7"/>
    <w:rsid w:val="00203B52"/>
    <w:rsid w:val="00205502"/>
    <w:rsid w:val="00205FE1"/>
    <w:rsid w:val="00206AF1"/>
    <w:rsid w:val="00207672"/>
    <w:rsid w:val="002141DC"/>
    <w:rsid w:val="00225B90"/>
    <w:rsid w:val="0022701C"/>
    <w:rsid w:val="0023465B"/>
    <w:rsid w:val="00243EF4"/>
    <w:rsid w:val="00244678"/>
    <w:rsid w:val="0024528C"/>
    <w:rsid w:val="00245A9D"/>
    <w:rsid w:val="002514AF"/>
    <w:rsid w:val="0025463C"/>
    <w:rsid w:val="0026180F"/>
    <w:rsid w:val="00263D1B"/>
    <w:rsid w:val="00264AE9"/>
    <w:rsid w:val="00267CF9"/>
    <w:rsid w:val="0027118E"/>
    <w:rsid w:val="002779C0"/>
    <w:rsid w:val="002803B6"/>
    <w:rsid w:val="00283BE8"/>
    <w:rsid w:val="002841B9"/>
    <w:rsid w:val="00284CAB"/>
    <w:rsid w:val="00286A93"/>
    <w:rsid w:val="00286B2E"/>
    <w:rsid w:val="0029490B"/>
    <w:rsid w:val="002976C7"/>
    <w:rsid w:val="002A1AF6"/>
    <w:rsid w:val="002A1D61"/>
    <w:rsid w:val="002B2E92"/>
    <w:rsid w:val="002C3EDD"/>
    <w:rsid w:val="002C4CCD"/>
    <w:rsid w:val="002C60F7"/>
    <w:rsid w:val="002C76E8"/>
    <w:rsid w:val="002E0B84"/>
    <w:rsid w:val="002F269D"/>
    <w:rsid w:val="002F3B9D"/>
    <w:rsid w:val="002F4D9D"/>
    <w:rsid w:val="002F7323"/>
    <w:rsid w:val="00301971"/>
    <w:rsid w:val="00312574"/>
    <w:rsid w:val="0031433B"/>
    <w:rsid w:val="0031595E"/>
    <w:rsid w:val="00323F9B"/>
    <w:rsid w:val="00324292"/>
    <w:rsid w:val="00325927"/>
    <w:rsid w:val="0032773F"/>
    <w:rsid w:val="00334612"/>
    <w:rsid w:val="00335332"/>
    <w:rsid w:val="00342606"/>
    <w:rsid w:val="00342F89"/>
    <w:rsid w:val="00345523"/>
    <w:rsid w:val="0036603A"/>
    <w:rsid w:val="003717CB"/>
    <w:rsid w:val="003728E0"/>
    <w:rsid w:val="00373090"/>
    <w:rsid w:val="00375080"/>
    <w:rsid w:val="003768F3"/>
    <w:rsid w:val="00380CFC"/>
    <w:rsid w:val="0038425D"/>
    <w:rsid w:val="00384BE1"/>
    <w:rsid w:val="00385B35"/>
    <w:rsid w:val="00387F5C"/>
    <w:rsid w:val="003908EF"/>
    <w:rsid w:val="00391D53"/>
    <w:rsid w:val="003976EC"/>
    <w:rsid w:val="003B5199"/>
    <w:rsid w:val="003B74A4"/>
    <w:rsid w:val="003C1BAC"/>
    <w:rsid w:val="003C49B9"/>
    <w:rsid w:val="003C527E"/>
    <w:rsid w:val="003C5A8E"/>
    <w:rsid w:val="003C7D6C"/>
    <w:rsid w:val="003D0B86"/>
    <w:rsid w:val="003D52F3"/>
    <w:rsid w:val="003E2A18"/>
    <w:rsid w:val="003E4D7E"/>
    <w:rsid w:val="003E5004"/>
    <w:rsid w:val="003E56F7"/>
    <w:rsid w:val="003F0D45"/>
    <w:rsid w:val="003F294D"/>
    <w:rsid w:val="003F763A"/>
    <w:rsid w:val="00401F03"/>
    <w:rsid w:val="0040587E"/>
    <w:rsid w:val="00406AD9"/>
    <w:rsid w:val="00407157"/>
    <w:rsid w:val="00407E2B"/>
    <w:rsid w:val="00413366"/>
    <w:rsid w:val="00415FEE"/>
    <w:rsid w:val="00426ABC"/>
    <w:rsid w:val="00427296"/>
    <w:rsid w:val="00432373"/>
    <w:rsid w:val="00434176"/>
    <w:rsid w:val="004355DC"/>
    <w:rsid w:val="0044037F"/>
    <w:rsid w:val="0044116D"/>
    <w:rsid w:val="0044583D"/>
    <w:rsid w:val="00447B5C"/>
    <w:rsid w:val="00450324"/>
    <w:rsid w:val="004518A9"/>
    <w:rsid w:val="00452154"/>
    <w:rsid w:val="004531EF"/>
    <w:rsid w:val="00455A1D"/>
    <w:rsid w:val="00456AA0"/>
    <w:rsid w:val="00461A58"/>
    <w:rsid w:val="00461C75"/>
    <w:rsid w:val="00461DDF"/>
    <w:rsid w:val="0046491F"/>
    <w:rsid w:val="00466B31"/>
    <w:rsid w:val="004739BB"/>
    <w:rsid w:val="0047510D"/>
    <w:rsid w:val="0047647F"/>
    <w:rsid w:val="00477738"/>
    <w:rsid w:val="00477A67"/>
    <w:rsid w:val="004803C3"/>
    <w:rsid w:val="00480DC8"/>
    <w:rsid w:val="0048282F"/>
    <w:rsid w:val="00485AE7"/>
    <w:rsid w:val="0048704C"/>
    <w:rsid w:val="00491B3C"/>
    <w:rsid w:val="004962F4"/>
    <w:rsid w:val="0049776B"/>
    <w:rsid w:val="004A2324"/>
    <w:rsid w:val="004B2B89"/>
    <w:rsid w:val="004B5261"/>
    <w:rsid w:val="004B67E1"/>
    <w:rsid w:val="004C095F"/>
    <w:rsid w:val="004C59EB"/>
    <w:rsid w:val="004D1251"/>
    <w:rsid w:val="004D3D0C"/>
    <w:rsid w:val="004D490D"/>
    <w:rsid w:val="004E1CCA"/>
    <w:rsid w:val="004E4A3A"/>
    <w:rsid w:val="004E5B71"/>
    <w:rsid w:val="004F1148"/>
    <w:rsid w:val="004F13D4"/>
    <w:rsid w:val="004F49B8"/>
    <w:rsid w:val="004F6AF2"/>
    <w:rsid w:val="005008FA"/>
    <w:rsid w:val="00500A5D"/>
    <w:rsid w:val="00500E3F"/>
    <w:rsid w:val="00503731"/>
    <w:rsid w:val="00503EDF"/>
    <w:rsid w:val="005044BC"/>
    <w:rsid w:val="00504941"/>
    <w:rsid w:val="005049B5"/>
    <w:rsid w:val="005127C4"/>
    <w:rsid w:val="00513CB7"/>
    <w:rsid w:val="005200F5"/>
    <w:rsid w:val="00526A03"/>
    <w:rsid w:val="00530DCF"/>
    <w:rsid w:val="00534795"/>
    <w:rsid w:val="005415AA"/>
    <w:rsid w:val="00546166"/>
    <w:rsid w:val="00546E36"/>
    <w:rsid w:val="00552B93"/>
    <w:rsid w:val="00553B41"/>
    <w:rsid w:val="005561C7"/>
    <w:rsid w:val="00566DBE"/>
    <w:rsid w:val="00570188"/>
    <w:rsid w:val="00572E0D"/>
    <w:rsid w:val="0058314D"/>
    <w:rsid w:val="00586A4D"/>
    <w:rsid w:val="00591145"/>
    <w:rsid w:val="005A5324"/>
    <w:rsid w:val="005A76A4"/>
    <w:rsid w:val="005B12E5"/>
    <w:rsid w:val="005B265D"/>
    <w:rsid w:val="005B3028"/>
    <w:rsid w:val="005B6C91"/>
    <w:rsid w:val="005B70FA"/>
    <w:rsid w:val="005D2423"/>
    <w:rsid w:val="005E1FF4"/>
    <w:rsid w:val="005E6F0B"/>
    <w:rsid w:val="005F062D"/>
    <w:rsid w:val="005F2AFA"/>
    <w:rsid w:val="005F48F3"/>
    <w:rsid w:val="005F73EB"/>
    <w:rsid w:val="0060373D"/>
    <w:rsid w:val="0060702F"/>
    <w:rsid w:val="00607907"/>
    <w:rsid w:val="0061112A"/>
    <w:rsid w:val="00611BC1"/>
    <w:rsid w:val="006132B3"/>
    <w:rsid w:val="00616570"/>
    <w:rsid w:val="00621C80"/>
    <w:rsid w:val="0062436B"/>
    <w:rsid w:val="00625427"/>
    <w:rsid w:val="00626ECF"/>
    <w:rsid w:val="00627762"/>
    <w:rsid w:val="006320ED"/>
    <w:rsid w:val="00635E4C"/>
    <w:rsid w:val="00642982"/>
    <w:rsid w:val="006470DB"/>
    <w:rsid w:val="006515F1"/>
    <w:rsid w:val="006528AB"/>
    <w:rsid w:val="00653174"/>
    <w:rsid w:val="006539F6"/>
    <w:rsid w:val="0066260E"/>
    <w:rsid w:val="006668FC"/>
    <w:rsid w:val="00666D34"/>
    <w:rsid w:val="00670826"/>
    <w:rsid w:val="00671FEE"/>
    <w:rsid w:val="006726C8"/>
    <w:rsid w:val="0067703B"/>
    <w:rsid w:val="00680D13"/>
    <w:rsid w:val="006858BD"/>
    <w:rsid w:val="006A59E8"/>
    <w:rsid w:val="006B0CEB"/>
    <w:rsid w:val="006B4657"/>
    <w:rsid w:val="006B67C7"/>
    <w:rsid w:val="006C0A4C"/>
    <w:rsid w:val="006C31AF"/>
    <w:rsid w:val="006C757E"/>
    <w:rsid w:val="006D0EB2"/>
    <w:rsid w:val="006D226B"/>
    <w:rsid w:val="006D3C85"/>
    <w:rsid w:val="006E0192"/>
    <w:rsid w:val="006E0839"/>
    <w:rsid w:val="006E1DB6"/>
    <w:rsid w:val="006E2840"/>
    <w:rsid w:val="006F2A43"/>
    <w:rsid w:val="006F3A53"/>
    <w:rsid w:val="006F4F63"/>
    <w:rsid w:val="006F5B7E"/>
    <w:rsid w:val="007152A2"/>
    <w:rsid w:val="00716DD0"/>
    <w:rsid w:val="00724958"/>
    <w:rsid w:val="00726689"/>
    <w:rsid w:val="007267B7"/>
    <w:rsid w:val="00726A90"/>
    <w:rsid w:val="007303C8"/>
    <w:rsid w:val="007318BC"/>
    <w:rsid w:val="007333DF"/>
    <w:rsid w:val="00734991"/>
    <w:rsid w:val="007355C1"/>
    <w:rsid w:val="00736A0A"/>
    <w:rsid w:val="00745D5D"/>
    <w:rsid w:val="00746AC6"/>
    <w:rsid w:val="00747441"/>
    <w:rsid w:val="00747634"/>
    <w:rsid w:val="00755148"/>
    <w:rsid w:val="007553F8"/>
    <w:rsid w:val="00756615"/>
    <w:rsid w:val="007601C0"/>
    <w:rsid w:val="0076122A"/>
    <w:rsid w:val="00762739"/>
    <w:rsid w:val="0076323B"/>
    <w:rsid w:val="007655DC"/>
    <w:rsid w:val="0076727C"/>
    <w:rsid w:val="00770A97"/>
    <w:rsid w:val="007724A0"/>
    <w:rsid w:val="007800A9"/>
    <w:rsid w:val="007826CD"/>
    <w:rsid w:val="00783720"/>
    <w:rsid w:val="00786033"/>
    <w:rsid w:val="00793129"/>
    <w:rsid w:val="00793164"/>
    <w:rsid w:val="00795DF2"/>
    <w:rsid w:val="007A08F8"/>
    <w:rsid w:val="007A654C"/>
    <w:rsid w:val="007A7BC0"/>
    <w:rsid w:val="007B3BCE"/>
    <w:rsid w:val="007B68C3"/>
    <w:rsid w:val="007C0719"/>
    <w:rsid w:val="007C4A09"/>
    <w:rsid w:val="007C501F"/>
    <w:rsid w:val="007C7FFC"/>
    <w:rsid w:val="007D4587"/>
    <w:rsid w:val="007D559A"/>
    <w:rsid w:val="007D574A"/>
    <w:rsid w:val="007D5758"/>
    <w:rsid w:val="007D62C8"/>
    <w:rsid w:val="007D6390"/>
    <w:rsid w:val="007E4696"/>
    <w:rsid w:val="007E5EC1"/>
    <w:rsid w:val="007F050C"/>
    <w:rsid w:val="007F4040"/>
    <w:rsid w:val="007F6FFE"/>
    <w:rsid w:val="008030FF"/>
    <w:rsid w:val="008041E1"/>
    <w:rsid w:val="0080487D"/>
    <w:rsid w:val="00805CC2"/>
    <w:rsid w:val="00806DC8"/>
    <w:rsid w:val="00807441"/>
    <w:rsid w:val="00812518"/>
    <w:rsid w:val="008140B9"/>
    <w:rsid w:val="0081431D"/>
    <w:rsid w:val="00830B5C"/>
    <w:rsid w:val="0083216A"/>
    <w:rsid w:val="00832332"/>
    <w:rsid w:val="00833B3D"/>
    <w:rsid w:val="00834B01"/>
    <w:rsid w:val="00837DEA"/>
    <w:rsid w:val="00844C12"/>
    <w:rsid w:val="008455E3"/>
    <w:rsid w:val="008472C1"/>
    <w:rsid w:val="00850BEC"/>
    <w:rsid w:val="00855FEF"/>
    <w:rsid w:val="008563FE"/>
    <w:rsid w:val="008566B1"/>
    <w:rsid w:val="00875DC2"/>
    <w:rsid w:val="00880D7F"/>
    <w:rsid w:val="00885BF3"/>
    <w:rsid w:val="00885E81"/>
    <w:rsid w:val="00887A71"/>
    <w:rsid w:val="0089542E"/>
    <w:rsid w:val="00897D29"/>
    <w:rsid w:val="008A7990"/>
    <w:rsid w:val="008B1675"/>
    <w:rsid w:val="008C59E7"/>
    <w:rsid w:val="008C5E81"/>
    <w:rsid w:val="008D3A68"/>
    <w:rsid w:val="008D4332"/>
    <w:rsid w:val="008E52D1"/>
    <w:rsid w:val="008E5BF4"/>
    <w:rsid w:val="008F33A9"/>
    <w:rsid w:val="008F585D"/>
    <w:rsid w:val="008F69A2"/>
    <w:rsid w:val="008F7259"/>
    <w:rsid w:val="008F787E"/>
    <w:rsid w:val="00900CBF"/>
    <w:rsid w:val="00916B7C"/>
    <w:rsid w:val="009245F2"/>
    <w:rsid w:val="00935A14"/>
    <w:rsid w:val="0094045F"/>
    <w:rsid w:val="00941074"/>
    <w:rsid w:val="00943274"/>
    <w:rsid w:val="00946122"/>
    <w:rsid w:val="00951189"/>
    <w:rsid w:val="00952F20"/>
    <w:rsid w:val="0095550B"/>
    <w:rsid w:val="00957D9E"/>
    <w:rsid w:val="00961EFA"/>
    <w:rsid w:val="0097508C"/>
    <w:rsid w:val="009772DE"/>
    <w:rsid w:val="00981BFB"/>
    <w:rsid w:val="00982F26"/>
    <w:rsid w:val="0098416B"/>
    <w:rsid w:val="009849FA"/>
    <w:rsid w:val="009919D6"/>
    <w:rsid w:val="00993845"/>
    <w:rsid w:val="0099600A"/>
    <w:rsid w:val="009A04DE"/>
    <w:rsid w:val="009A1895"/>
    <w:rsid w:val="009A3743"/>
    <w:rsid w:val="009A4734"/>
    <w:rsid w:val="009A4F6A"/>
    <w:rsid w:val="009B00FF"/>
    <w:rsid w:val="009B12BA"/>
    <w:rsid w:val="009C21C5"/>
    <w:rsid w:val="009C6429"/>
    <w:rsid w:val="009D08B8"/>
    <w:rsid w:val="009D4C6D"/>
    <w:rsid w:val="009D72DB"/>
    <w:rsid w:val="009E11D7"/>
    <w:rsid w:val="009E2301"/>
    <w:rsid w:val="009E2398"/>
    <w:rsid w:val="009E2409"/>
    <w:rsid w:val="009E6401"/>
    <w:rsid w:val="009E7166"/>
    <w:rsid w:val="009F3953"/>
    <w:rsid w:val="009F4D1D"/>
    <w:rsid w:val="009F4F5D"/>
    <w:rsid w:val="009F7644"/>
    <w:rsid w:val="00A0529E"/>
    <w:rsid w:val="00A167ED"/>
    <w:rsid w:val="00A2405A"/>
    <w:rsid w:val="00A271AC"/>
    <w:rsid w:val="00A30684"/>
    <w:rsid w:val="00A306D8"/>
    <w:rsid w:val="00A437BF"/>
    <w:rsid w:val="00A44283"/>
    <w:rsid w:val="00A44948"/>
    <w:rsid w:val="00A45B0F"/>
    <w:rsid w:val="00A46853"/>
    <w:rsid w:val="00A47291"/>
    <w:rsid w:val="00A52510"/>
    <w:rsid w:val="00A5428D"/>
    <w:rsid w:val="00A54F33"/>
    <w:rsid w:val="00A54FB3"/>
    <w:rsid w:val="00A55974"/>
    <w:rsid w:val="00A56432"/>
    <w:rsid w:val="00A614ED"/>
    <w:rsid w:val="00A61C32"/>
    <w:rsid w:val="00A62026"/>
    <w:rsid w:val="00A63337"/>
    <w:rsid w:val="00A63351"/>
    <w:rsid w:val="00A64F11"/>
    <w:rsid w:val="00A70116"/>
    <w:rsid w:val="00A71802"/>
    <w:rsid w:val="00A845DC"/>
    <w:rsid w:val="00A950C0"/>
    <w:rsid w:val="00A9577A"/>
    <w:rsid w:val="00AA146E"/>
    <w:rsid w:val="00AA7180"/>
    <w:rsid w:val="00AB0CD5"/>
    <w:rsid w:val="00AB3FC6"/>
    <w:rsid w:val="00AB50A5"/>
    <w:rsid w:val="00AB64F6"/>
    <w:rsid w:val="00AC5AE8"/>
    <w:rsid w:val="00AD4ABA"/>
    <w:rsid w:val="00AD6831"/>
    <w:rsid w:val="00AE1DAF"/>
    <w:rsid w:val="00AE4727"/>
    <w:rsid w:val="00AF2EF0"/>
    <w:rsid w:val="00B0140E"/>
    <w:rsid w:val="00B03AD9"/>
    <w:rsid w:val="00B137C3"/>
    <w:rsid w:val="00B23852"/>
    <w:rsid w:val="00B2411B"/>
    <w:rsid w:val="00B30745"/>
    <w:rsid w:val="00B317D1"/>
    <w:rsid w:val="00B464D8"/>
    <w:rsid w:val="00B521F4"/>
    <w:rsid w:val="00B5691D"/>
    <w:rsid w:val="00B645BC"/>
    <w:rsid w:val="00B65213"/>
    <w:rsid w:val="00B67913"/>
    <w:rsid w:val="00B72053"/>
    <w:rsid w:val="00B7245C"/>
    <w:rsid w:val="00B74445"/>
    <w:rsid w:val="00B7612F"/>
    <w:rsid w:val="00B76194"/>
    <w:rsid w:val="00B77B0A"/>
    <w:rsid w:val="00B82F3E"/>
    <w:rsid w:val="00B873D3"/>
    <w:rsid w:val="00B877FB"/>
    <w:rsid w:val="00B929DF"/>
    <w:rsid w:val="00B96C30"/>
    <w:rsid w:val="00BA4423"/>
    <w:rsid w:val="00BA67ED"/>
    <w:rsid w:val="00BB0391"/>
    <w:rsid w:val="00BB1EDD"/>
    <w:rsid w:val="00BB2633"/>
    <w:rsid w:val="00BB5ED8"/>
    <w:rsid w:val="00BB7BD6"/>
    <w:rsid w:val="00BC7323"/>
    <w:rsid w:val="00BC768F"/>
    <w:rsid w:val="00BD43B4"/>
    <w:rsid w:val="00BE2E26"/>
    <w:rsid w:val="00BE6A33"/>
    <w:rsid w:val="00BF394E"/>
    <w:rsid w:val="00C01C26"/>
    <w:rsid w:val="00C038BF"/>
    <w:rsid w:val="00C03E3B"/>
    <w:rsid w:val="00C0419E"/>
    <w:rsid w:val="00C05A63"/>
    <w:rsid w:val="00C26DEA"/>
    <w:rsid w:val="00C3020A"/>
    <w:rsid w:val="00C3474F"/>
    <w:rsid w:val="00C413D7"/>
    <w:rsid w:val="00C45694"/>
    <w:rsid w:val="00C46ABC"/>
    <w:rsid w:val="00C559CF"/>
    <w:rsid w:val="00C56249"/>
    <w:rsid w:val="00C61C5A"/>
    <w:rsid w:val="00C72FF2"/>
    <w:rsid w:val="00C75921"/>
    <w:rsid w:val="00C81D14"/>
    <w:rsid w:val="00C825D6"/>
    <w:rsid w:val="00C82D1C"/>
    <w:rsid w:val="00C8359C"/>
    <w:rsid w:val="00C93A9A"/>
    <w:rsid w:val="00C93FC4"/>
    <w:rsid w:val="00C97E22"/>
    <w:rsid w:val="00CA4645"/>
    <w:rsid w:val="00CA547B"/>
    <w:rsid w:val="00CA7C0F"/>
    <w:rsid w:val="00CB38E9"/>
    <w:rsid w:val="00CB574F"/>
    <w:rsid w:val="00CC347A"/>
    <w:rsid w:val="00CD2408"/>
    <w:rsid w:val="00CD2910"/>
    <w:rsid w:val="00CD36BF"/>
    <w:rsid w:val="00CD5B1C"/>
    <w:rsid w:val="00CD6E09"/>
    <w:rsid w:val="00CF0E17"/>
    <w:rsid w:val="00CF5CFB"/>
    <w:rsid w:val="00CF61A2"/>
    <w:rsid w:val="00D02CF4"/>
    <w:rsid w:val="00D06ED6"/>
    <w:rsid w:val="00D07140"/>
    <w:rsid w:val="00D0774A"/>
    <w:rsid w:val="00D11F9A"/>
    <w:rsid w:val="00D1220E"/>
    <w:rsid w:val="00D15B8E"/>
    <w:rsid w:val="00D15C14"/>
    <w:rsid w:val="00D23F95"/>
    <w:rsid w:val="00D255CF"/>
    <w:rsid w:val="00D27780"/>
    <w:rsid w:val="00D37446"/>
    <w:rsid w:val="00D427DA"/>
    <w:rsid w:val="00D4618C"/>
    <w:rsid w:val="00D47AC2"/>
    <w:rsid w:val="00D53954"/>
    <w:rsid w:val="00D55191"/>
    <w:rsid w:val="00D60295"/>
    <w:rsid w:val="00D60BF8"/>
    <w:rsid w:val="00D64B68"/>
    <w:rsid w:val="00D70008"/>
    <w:rsid w:val="00D7171E"/>
    <w:rsid w:val="00D73DDA"/>
    <w:rsid w:val="00D838D7"/>
    <w:rsid w:val="00D85130"/>
    <w:rsid w:val="00D85D10"/>
    <w:rsid w:val="00D877CA"/>
    <w:rsid w:val="00D90554"/>
    <w:rsid w:val="00D91FC2"/>
    <w:rsid w:val="00D92CCC"/>
    <w:rsid w:val="00D96909"/>
    <w:rsid w:val="00D97375"/>
    <w:rsid w:val="00D97D0B"/>
    <w:rsid w:val="00DA1D01"/>
    <w:rsid w:val="00DA7293"/>
    <w:rsid w:val="00DA7A14"/>
    <w:rsid w:val="00DB5150"/>
    <w:rsid w:val="00DB58C9"/>
    <w:rsid w:val="00DC5B7A"/>
    <w:rsid w:val="00DD3074"/>
    <w:rsid w:val="00DD77F6"/>
    <w:rsid w:val="00DE0C1F"/>
    <w:rsid w:val="00DE142E"/>
    <w:rsid w:val="00DF0490"/>
    <w:rsid w:val="00DF248C"/>
    <w:rsid w:val="00DF4646"/>
    <w:rsid w:val="00DF4908"/>
    <w:rsid w:val="00DF5531"/>
    <w:rsid w:val="00DF69ED"/>
    <w:rsid w:val="00DF6C7F"/>
    <w:rsid w:val="00DF6E9F"/>
    <w:rsid w:val="00E00B7C"/>
    <w:rsid w:val="00E02383"/>
    <w:rsid w:val="00E10988"/>
    <w:rsid w:val="00E15062"/>
    <w:rsid w:val="00E20E2C"/>
    <w:rsid w:val="00E228FF"/>
    <w:rsid w:val="00E22B37"/>
    <w:rsid w:val="00E23B33"/>
    <w:rsid w:val="00E24AE1"/>
    <w:rsid w:val="00E25FD3"/>
    <w:rsid w:val="00E31083"/>
    <w:rsid w:val="00E3409B"/>
    <w:rsid w:val="00E4677B"/>
    <w:rsid w:val="00E4727E"/>
    <w:rsid w:val="00E52118"/>
    <w:rsid w:val="00E60108"/>
    <w:rsid w:val="00E736E1"/>
    <w:rsid w:val="00E836DE"/>
    <w:rsid w:val="00E9013C"/>
    <w:rsid w:val="00E90A67"/>
    <w:rsid w:val="00E918FC"/>
    <w:rsid w:val="00E91D4B"/>
    <w:rsid w:val="00EA1A8F"/>
    <w:rsid w:val="00EA3769"/>
    <w:rsid w:val="00EA3BF6"/>
    <w:rsid w:val="00EA630E"/>
    <w:rsid w:val="00EB176A"/>
    <w:rsid w:val="00EB68AC"/>
    <w:rsid w:val="00EC06BF"/>
    <w:rsid w:val="00EC06E9"/>
    <w:rsid w:val="00EC4D77"/>
    <w:rsid w:val="00ED5F80"/>
    <w:rsid w:val="00EE4EBF"/>
    <w:rsid w:val="00EE72D8"/>
    <w:rsid w:val="00EE7A8B"/>
    <w:rsid w:val="00EF394F"/>
    <w:rsid w:val="00EF4035"/>
    <w:rsid w:val="00F128A1"/>
    <w:rsid w:val="00F229AC"/>
    <w:rsid w:val="00F2415C"/>
    <w:rsid w:val="00F37B4D"/>
    <w:rsid w:val="00F404B3"/>
    <w:rsid w:val="00F412DD"/>
    <w:rsid w:val="00F5043A"/>
    <w:rsid w:val="00F52451"/>
    <w:rsid w:val="00F54921"/>
    <w:rsid w:val="00F556B1"/>
    <w:rsid w:val="00F55D21"/>
    <w:rsid w:val="00F560C1"/>
    <w:rsid w:val="00F709CD"/>
    <w:rsid w:val="00F7270F"/>
    <w:rsid w:val="00F73AB6"/>
    <w:rsid w:val="00F76EAF"/>
    <w:rsid w:val="00F84DC5"/>
    <w:rsid w:val="00F87F55"/>
    <w:rsid w:val="00F90BC1"/>
    <w:rsid w:val="00F96062"/>
    <w:rsid w:val="00F9728F"/>
    <w:rsid w:val="00FA01BB"/>
    <w:rsid w:val="00FA073F"/>
    <w:rsid w:val="00FA1194"/>
    <w:rsid w:val="00FA1FD3"/>
    <w:rsid w:val="00FA4997"/>
    <w:rsid w:val="00FB28F5"/>
    <w:rsid w:val="00FC5F30"/>
    <w:rsid w:val="00FD4CBF"/>
    <w:rsid w:val="00FD7838"/>
    <w:rsid w:val="00FE45DF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4EB78B7-7E00-4450-81D7-522645A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3ED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71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3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0DCF"/>
    <w:rPr>
      <w:rFonts w:cs="Times New Roman"/>
    </w:rPr>
  </w:style>
  <w:style w:type="paragraph" w:styleId="Zpat">
    <w:name w:val="footer"/>
    <w:basedOn w:val="Normln"/>
    <w:link w:val="ZpatChar"/>
    <w:uiPriority w:val="99"/>
    <w:rsid w:val="0053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30DC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13C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67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A718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C082-07C1-4153-B71C-7C6B3D12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Švorcová Martina Ing. (P13)</cp:lastModifiedBy>
  <cp:revision>3</cp:revision>
  <cp:lastPrinted>2025-10-06T15:07:00Z</cp:lastPrinted>
  <dcterms:created xsi:type="dcterms:W3CDTF">2025-10-14T09:38:00Z</dcterms:created>
  <dcterms:modified xsi:type="dcterms:W3CDTF">2025-11-12T14:20:00Z</dcterms:modified>
</cp:coreProperties>
</file>